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65765678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F35EC5">
        <w:rPr>
          <w:b/>
          <w:noProof/>
          <w:sz w:val="24"/>
        </w:rPr>
        <w:t>1</w:t>
      </w:r>
      <w:r w:rsidR="002C018D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6D461B">
        <w:rPr>
          <w:b/>
          <w:noProof/>
          <w:sz w:val="24"/>
        </w:rPr>
        <w:t>1</w:t>
      </w:r>
      <w:r w:rsidR="00D42719">
        <w:rPr>
          <w:b/>
          <w:noProof/>
          <w:sz w:val="24"/>
        </w:rPr>
        <w:t>1</w:t>
      </w:r>
      <w:r w:rsidR="00537CBB">
        <w:rPr>
          <w:b/>
          <w:noProof/>
          <w:sz w:val="24"/>
        </w:rPr>
        <w:t>7646</w:t>
      </w:r>
    </w:p>
    <w:p w14:paraId="63C63B34" w14:textId="7014CAA8" w:rsidR="001512D7" w:rsidRPr="0010618D" w:rsidRDefault="00214DDD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</w:t>
      </w:r>
      <w:r w:rsidR="00C03856">
        <w:rPr>
          <w:rFonts w:ascii="Arial" w:hAnsi="Arial" w:cs="Arial"/>
          <w:b/>
          <w:sz w:val="24"/>
        </w:rPr>
        <w:t xml:space="preserve"> –</w:t>
      </w:r>
      <w:r w:rsidR="00F35EC5">
        <w:rPr>
          <w:rFonts w:ascii="Arial" w:hAnsi="Arial" w:cs="Arial"/>
          <w:b/>
          <w:sz w:val="24"/>
        </w:rPr>
        <w:t>12</w:t>
      </w:r>
      <w:r w:rsidR="00C03856">
        <w:rPr>
          <w:rFonts w:ascii="Arial" w:hAnsi="Arial" w:cs="Arial"/>
          <w:b/>
          <w:sz w:val="24"/>
        </w:rPr>
        <w:t xml:space="preserve"> </w:t>
      </w:r>
      <w:r w:rsidR="00F35EC5">
        <w:rPr>
          <w:rFonts w:ascii="Arial" w:hAnsi="Arial" w:cs="Arial"/>
          <w:b/>
          <w:sz w:val="24"/>
        </w:rPr>
        <w:t>November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2021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CE6441A" w14:textId="511A5EEB" w:rsidR="0010618D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61F6">
        <w:rPr>
          <w:rFonts w:ascii="Arial" w:hAnsi="Arial" w:cs="Arial"/>
          <w:b/>
        </w:rPr>
        <w:t>MPR for NR V2X intra-band con-current operation</w:t>
      </w:r>
      <w:r w:rsidR="001419DF">
        <w:rPr>
          <w:rFonts w:ascii="Arial" w:hAnsi="Arial" w:cs="Arial"/>
          <w:b/>
        </w:rPr>
        <w:t xml:space="preserve"> and REFSENS for n79 intra-band concurrent V2X operation</w:t>
      </w:r>
    </w:p>
    <w:p w14:paraId="157BD185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3CE2741" w14:textId="3ED64C7E" w:rsidR="0010618D" w:rsidRDefault="0010618D" w:rsidP="001419DF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1419DF">
        <w:rPr>
          <w:rFonts w:ascii="Arial" w:hAnsi="Arial" w:cs="Arial"/>
          <w:b/>
        </w:rPr>
        <w:t>8.15.4.4</w:t>
      </w:r>
    </w:p>
    <w:p w14:paraId="3E415896" w14:textId="77777777" w:rsidR="001419DF" w:rsidRPr="001419DF" w:rsidRDefault="001419DF" w:rsidP="001419DF">
      <w:pPr>
        <w:spacing w:after="60"/>
        <w:ind w:left="1985" w:hanging="1985"/>
        <w:rPr>
          <w:rFonts w:ascii="Arial" w:hAnsi="Arial" w:cs="Arial"/>
          <w:b/>
        </w:rPr>
      </w:pP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0512347D" w:rsidR="00313B11" w:rsidRPr="00313B11" w:rsidRDefault="006F278A" w:rsidP="00313B11">
      <w:r>
        <w:t>In RAN4#</w:t>
      </w:r>
      <w:r w:rsidR="000361F6">
        <w:t>98</w:t>
      </w:r>
      <w:r>
        <w:t>-</w:t>
      </w:r>
      <w:r w:rsidR="00CC35EC">
        <w:t>e a</w:t>
      </w:r>
      <w:r w:rsidR="000361F6">
        <w:t xml:space="preserve"> WF was generated detailing the simulation assumptions for NR V2X intra-band con-current operation [1]. This paper gives MPR measurement results for NR intra-band concurrent operation</w:t>
      </w:r>
      <w:r w:rsidR="00CC35EC">
        <w:t>.</w:t>
      </w:r>
      <w:r w:rsidR="000361F6">
        <w:t xml:space="preserve"> </w:t>
      </w:r>
    </w:p>
    <w:p w14:paraId="65A85401" w14:textId="6BF05206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D87A0B8" w14:textId="4D89E39F" w:rsidR="001419DF" w:rsidRPr="001419DF" w:rsidRDefault="001419DF" w:rsidP="001419DF">
      <w:pPr>
        <w:pStyle w:val="Heading2"/>
        <w:rPr>
          <w:bCs/>
        </w:rPr>
      </w:pPr>
      <w:r>
        <w:t xml:space="preserve">2.1 </w:t>
      </w:r>
      <w:r>
        <w:tab/>
      </w:r>
      <w:r w:rsidRPr="001419DF">
        <w:rPr>
          <w:rFonts w:cs="Arial"/>
          <w:bCs/>
        </w:rPr>
        <w:t>MPR for NR V2X intra-band con-current operation</w:t>
      </w:r>
    </w:p>
    <w:p w14:paraId="58AC2444" w14:textId="7692DC71" w:rsidR="00CC35EC" w:rsidRDefault="00391F26" w:rsidP="0005283C">
      <w:r>
        <w:t xml:space="preserve"> </w:t>
      </w:r>
      <w:r w:rsidR="00CC35EC">
        <w:t xml:space="preserve">As 2 PA simulations </w:t>
      </w:r>
      <w:r w:rsidR="009A227F">
        <w:t xml:space="preserve">results </w:t>
      </w:r>
      <w:r w:rsidR="00CC35EC">
        <w:t>are highly dependent o</w:t>
      </w:r>
      <w:r w:rsidR="009A227F">
        <w:t>n</w:t>
      </w:r>
      <w:r w:rsidR="00CC35EC">
        <w:t xml:space="preserve"> the PA reverse IMD models used it was thought best to measure the MPR for several </w:t>
      </w:r>
      <w:r w:rsidR="00EA2741">
        <w:t>RB allocations</w:t>
      </w:r>
      <w:r w:rsidR="009A227F">
        <w:t xml:space="preserve"> to see what MPRs are </w:t>
      </w:r>
      <w:r w:rsidR="00751E84">
        <w:t>needed</w:t>
      </w:r>
      <w:r w:rsidR="009A227F">
        <w:t xml:space="preserve"> for this 2PA scenario</w:t>
      </w:r>
      <w:r w:rsidR="00CC35EC">
        <w:t>. The setup used for the</w:t>
      </w:r>
      <w:r w:rsidR="00EA2741">
        <w:t>se</w:t>
      </w:r>
      <w:r w:rsidR="00CC35EC">
        <w:t xml:space="preserve"> measurements</w:t>
      </w:r>
      <w:r w:rsidR="00EA2741">
        <w:t xml:space="preserve"> is shown below</w:t>
      </w:r>
      <w:r w:rsidR="00CC35EC">
        <w:t>:</w:t>
      </w:r>
    </w:p>
    <w:p w14:paraId="6EC9F6E6" w14:textId="675AC7CA" w:rsidR="00CC35EC" w:rsidRDefault="00CA2FED" w:rsidP="0005283C">
      <w:r>
        <w:rPr>
          <w:noProof/>
        </w:rPr>
        <w:drawing>
          <wp:inline distT="0" distB="0" distL="0" distR="0" wp14:anchorId="20AF74F0" wp14:editId="0625EBE4">
            <wp:extent cx="5257800" cy="2114550"/>
            <wp:effectExtent l="0" t="0" r="0" b="0"/>
            <wp:docPr id="1" name="Picture 1" descr="Chart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56BA3" w14:textId="41F45F72" w:rsidR="00CC35EC" w:rsidRDefault="00CC35EC" w:rsidP="0005283C"/>
    <w:p w14:paraId="705D723B" w14:textId="1B968C08" w:rsidR="00CC35EC" w:rsidRDefault="00CC35EC" w:rsidP="00CC35EC">
      <w:pPr>
        <w:jc w:val="center"/>
      </w:pPr>
      <w:r>
        <w:t>Figure 1 – MPR measurement setup</w:t>
      </w:r>
    </w:p>
    <w:p w14:paraId="7986DD5A" w14:textId="375FB6C7" w:rsidR="00CC35EC" w:rsidRDefault="00F13AB8" w:rsidP="00CC35EC">
      <w:r>
        <w:t xml:space="preserve">In this measurement setup the </w:t>
      </w:r>
      <w:r w:rsidR="00096678">
        <w:t>aggressor</w:t>
      </w:r>
      <w:r>
        <w:t xml:space="preserve"> PA was emulated by a signal generator (Aggressor sig gen2). </w:t>
      </w:r>
      <w:r w:rsidR="00CC35EC">
        <w:t xml:space="preserve">Using a </w:t>
      </w:r>
      <w:r w:rsidR="00B57A94">
        <w:t>circulator</w:t>
      </w:r>
      <w:r w:rsidR="00F72C35">
        <w:t xml:space="preserve"> and several couplers</w:t>
      </w:r>
      <w:r w:rsidR="00B57A94">
        <w:t>,</w:t>
      </w:r>
      <w:r w:rsidR="00CC35EC">
        <w:t xml:space="preserve"> </w:t>
      </w:r>
      <w:r w:rsidR="00B57A94">
        <w:t>the aggressor signal</w:t>
      </w:r>
      <w:r w:rsidR="005D3BF7">
        <w:t xml:space="preserve"> </w:t>
      </w:r>
      <w:r w:rsidR="00B57A94">
        <w:t>was input to the output of the PA. The antenna coupling was assumed to be 10dB.</w:t>
      </w:r>
      <w:r w:rsidR="00330F06">
        <w:t xml:space="preserve"> The </w:t>
      </w:r>
      <w:r w:rsidR="005320E4">
        <w:t xml:space="preserve">various combinations of </w:t>
      </w:r>
      <w:r w:rsidR="00330F06">
        <w:t xml:space="preserve">RBs </w:t>
      </w:r>
      <w:r w:rsidR="005320E4">
        <w:t xml:space="preserve">were </w:t>
      </w:r>
      <w:r w:rsidR="00330F06">
        <w:t>selected for the</w:t>
      </w:r>
      <w:r w:rsidR="005320E4">
        <w:t>se</w:t>
      </w:r>
      <w:r w:rsidR="00330F06">
        <w:t xml:space="preserve"> measurements </w:t>
      </w:r>
      <w:r w:rsidR="005320E4">
        <w:t>from the</w:t>
      </w:r>
      <w:r w:rsidR="00330F06">
        <w:t xml:space="preserve"> guidelines provided in [1</w:t>
      </w:r>
      <w:r w:rsidR="005320E4">
        <w:t>]. The</w:t>
      </w:r>
      <w:r w:rsidR="00B57A94">
        <w:t xml:space="preserve"> PA </w:t>
      </w:r>
      <w:r>
        <w:t xml:space="preserve">output </w:t>
      </w:r>
      <w:r w:rsidR="00B57A94">
        <w:t>was captured on a spectrum analy</w:t>
      </w:r>
      <w:r>
        <w:t>z</w:t>
      </w:r>
      <w:r w:rsidR="00B57A94">
        <w:t>er (SA)</w:t>
      </w:r>
      <w:r w:rsidR="004355C0">
        <w:t xml:space="preserve"> for various power back-off</w:t>
      </w:r>
      <w:r w:rsidR="00EA2741">
        <w:t>s</w:t>
      </w:r>
      <w:r>
        <w:t xml:space="preserve"> of the PA and </w:t>
      </w:r>
      <w:r w:rsidR="0007622D">
        <w:t xml:space="preserve">aggressor </w:t>
      </w:r>
      <w:r>
        <w:t>sig gen2</w:t>
      </w:r>
      <w:r w:rsidR="00CA2FED">
        <w:t>. The captured data was</w:t>
      </w:r>
      <w:r w:rsidR="00B57A94">
        <w:t xml:space="preserve"> analysed for EVM, SEM and ACLR for inner and outer </w:t>
      </w:r>
      <w:r w:rsidR="00A74A6E">
        <w:t xml:space="preserve">contiguous </w:t>
      </w:r>
      <w:r w:rsidR="00B57A94">
        <w:t>RB configurations</w:t>
      </w:r>
      <w:r>
        <w:t xml:space="preserve"> and modulations</w:t>
      </w:r>
      <w:r w:rsidR="009A227F">
        <w:t xml:space="preserve">. </w:t>
      </w:r>
      <w:r w:rsidR="004355C0">
        <w:t xml:space="preserve">The measured results </w:t>
      </w:r>
      <w:r w:rsidR="00A903E3">
        <w:t xml:space="preserve">for </w:t>
      </w:r>
      <w:r w:rsidR="007B4AF0">
        <w:t xml:space="preserve">band n79 for signals with SCS=30kHz for </w:t>
      </w:r>
      <w:r w:rsidR="00A903E3">
        <w:t xml:space="preserve">inner and outer </w:t>
      </w:r>
      <w:r w:rsidR="00510E29">
        <w:t xml:space="preserve">contiguous RB </w:t>
      </w:r>
      <w:r w:rsidR="00A903E3">
        <w:t xml:space="preserve">allocations </w:t>
      </w:r>
      <w:r w:rsidR="009A227F">
        <w:t>are shown below</w:t>
      </w:r>
      <w:r w:rsidR="00A74A6E">
        <w:t>:</w:t>
      </w:r>
    </w:p>
    <w:p w14:paraId="144AB458" w14:textId="10F55EFA" w:rsidR="00A74A6E" w:rsidRDefault="00A74A6E" w:rsidP="00CC35EC"/>
    <w:p w14:paraId="3049497B" w14:textId="77777777" w:rsidR="00A74A6E" w:rsidRDefault="00A74A6E" w:rsidP="00CC35EC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95"/>
        <w:gridCol w:w="1895"/>
        <w:gridCol w:w="1895"/>
      </w:tblGrid>
      <w:tr w:rsidR="004355C0" w14:paraId="540DE369" w14:textId="77777777" w:rsidTr="00A74A6E">
        <w:trPr>
          <w:trHeight w:val="38"/>
          <w:jc w:val="center"/>
        </w:trPr>
        <w:tc>
          <w:tcPr>
            <w:tcW w:w="1895" w:type="dxa"/>
          </w:tcPr>
          <w:p w14:paraId="31CD2732" w14:textId="77777777" w:rsidR="004355C0" w:rsidRDefault="004355C0" w:rsidP="00A74A6E">
            <w:pPr>
              <w:jc w:val="center"/>
            </w:pPr>
          </w:p>
        </w:tc>
        <w:tc>
          <w:tcPr>
            <w:tcW w:w="1895" w:type="dxa"/>
          </w:tcPr>
          <w:p w14:paraId="26656A81" w14:textId="1552C29B" w:rsidR="004355C0" w:rsidRDefault="004355C0" w:rsidP="00A74A6E">
            <w:pPr>
              <w:jc w:val="center"/>
            </w:pPr>
            <w:r>
              <w:t>MPR Outer (dB)</w:t>
            </w:r>
          </w:p>
        </w:tc>
        <w:tc>
          <w:tcPr>
            <w:tcW w:w="1895" w:type="dxa"/>
          </w:tcPr>
          <w:p w14:paraId="1BB39954" w14:textId="72761500" w:rsidR="004355C0" w:rsidRDefault="004355C0" w:rsidP="00A74A6E">
            <w:pPr>
              <w:jc w:val="center"/>
            </w:pPr>
            <w:r>
              <w:t>MPR Inner (dB)</w:t>
            </w:r>
          </w:p>
        </w:tc>
      </w:tr>
      <w:tr w:rsidR="004355C0" w14:paraId="0A3130D7" w14:textId="77777777" w:rsidTr="00A74A6E">
        <w:trPr>
          <w:trHeight w:val="38"/>
          <w:jc w:val="center"/>
        </w:trPr>
        <w:tc>
          <w:tcPr>
            <w:tcW w:w="1895" w:type="dxa"/>
          </w:tcPr>
          <w:p w14:paraId="33DA2051" w14:textId="7B892120" w:rsidR="004355C0" w:rsidRDefault="004355C0" w:rsidP="00A74A6E">
            <w:pPr>
              <w:jc w:val="center"/>
            </w:pPr>
            <w:r>
              <w:t>QPSK</w:t>
            </w:r>
          </w:p>
        </w:tc>
        <w:tc>
          <w:tcPr>
            <w:tcW w:w="1895" w:type="dxa"/>
          </w:tcPr>
          <w:p w14:paraId="52168FDA" w14:textId="3267BF8E" w:rsidR="004355C0" w:rsidRDefault="001704AA" w:rsidP="00A74A6E">
            <w:pPr>
              <w:jc w:val="center"/>
            </w:pPr>
            <w:r>
              <w:t>2.8</w:t>
            </w:r>
          </w:p>
        </w:tc>
        <w:tc>
          <w:tcPr>
            <w:tcW w:w="1895" w:type="dxa"/>
          </w:tcPr>
          <w:p w14:paraId="46998286" w14:textId="33B8DD15" w:rsidR="004355C0" w:rsidRDefault="00DB0F20" w:rsidP="00A74A6E">
            <w:pPr>
              <w:jc w:val="center"/>
            </w:pPr>
            <w:r>
              <w:t>2.</w:t>
            </w:r>
            <w:r w:rsidR="001704AA">
              <w:t>8</w:t>
            </w:r>
          </w:p>
        </w:tc>
      </w:tr>
      <w:tr w:rsidR="004355C0" w14:paraId="64A1483D" w14:textId="77777777" w:rsidTr="00A74A6E">
        <w:trPr>
          <w:trHeight w:val="38"/>
          <w:jc w:val="center"/>
        </w:trPr>
        <w:tc>
          <w:tcPr>
            <w:tcW w:w="1895" w:type="dxa"/>
          </w:tcPr>
          <w:p w14:paraId="1C2B59A3" w14:textId="7C2E2948" w:rsidR="004355C0" w:rsidRDefault="004355C0" w:rsidP="00A74A6E">
            <w:pPr>
              <w:jc w:val="center"/>
            </w:pPr>
            <w:r>
              <w:t>16QAM</w:t>
            </w:r>
          </w:p>
        </w:tc>
        <w:tc>
          <w:tcPr>
            <w:tcW w:w="1895" w:type="dxa"/>
          </w:tcPr>
          <w:p w14:paraId="461A782A" w14:textId="50193880" w:rsidR="004355C0" w:rsidRDefault="008C0F3C" w:rsidP="00A74A6E">
            <w:pPr>
              <w:jc w:val="center"/>
            </w:pPr>
            <w:r>
              <w:t xml:space="preserve"> </w:t>
            </w:r>
            <w:r w:rsidR="001704AA">
              <w:t>2.9</w:t>
            </w:r>
          </w:p>
        </w:tc>
        <w:tc>
          <w:tcPr>
            <w:tcW w:w="1895" w:type="dxa"/>
          </w:tcPr>
          <w:p w14:paraId="0080B4B6" w14:textId="504C9874" w:rsidR="004355C0" w:rsidRDefault="001704AA" w:rsidP="00A74A6E">
            <w:pPr>
              <w:jc w:val="center"/>
            </w:pPr>
            <w:r>
              <w:t>2.8</w:t>
            </w:r>
          </w:p>
        </w:tc>
      </w:tr>
      <w:tr w:rsidR="004355C0" w14:paraId="7ABF64E6" w14:textId="77777777" w:rsidTr="00A74A6E">
        <w:trPr>
          <w:trHeight w:val="38"/>
          <w:jc w:val="center"/>
        </w:trPr>
        <w:tc>
          <w:tcPr>
            <w:tcW w:w="1895" w:type="dxa"/>
          </w:tcPr>
          <w:p w14:paraId="1A5D26C1" w14:textId="2B9D72C9" w:rsidR="004355C0" w:rsidRDefault="004355C0" w:rsidP="00A74A6E">
            <w:pPr>
              <w:jc w:val="center"/>
            </w:pPr>
            <w:r>
              <w:t>64QAM</w:t>
            </w:r>
          </w:p>
        </w:tc>
        <w:tc>
          <w:tcPr>
            <w:tcW w:w="1895" w:type="dxa"/>
          </w:tcPr>
          <w:p w14:paraId="02A469D9" w14:textId="0E51866B" w:rsidR="004355C0" w:rsidRDefault="00DB0F20" w:rsidP="00A74A6E">
            <w:pPr>
              <w:jc w:val="center"/>
            </w:pPr>
            <w:r>
              <w:t>3.9</w:t>
            </w:r>
          </w:p>
        </w:tc>
        <w:tc>
          <w:tcPr>
            <w:tcW w:w="1895" w:type="dxa"/>
          </w:tcPr>
          <w:p w14:paraId="787D51FE" w14:textId="716DDFD0" w:rsidR="004355C0" w:rsidRDefault="00DB0F20" w:rsidP="00A74A6E">
            <w:pPr>
              <w:jc w:val="center"/>
            </w:pPr>
            <w:r>
              <w:t>3.</w:t>
            </w:r>
            <w:r w:rsidR="001704AA">
              <w:t>8</w:t>
            </w:r>
          </w:p>
        </w:tc>
      </w:tr>
      <w:tr w:rsidR="004355C0" w14:paraId="231C7C69" w14:textId="77777777" w:rsidTr="00A74A6E">
        <w:trPr>
          <w:trHeight w:val="38"/>
          <w:jc w:val="center"/>
        </w:trPr>
        <w:tc>
          <w:tcPr>
            <w:tcW w:w="1895" w:type="dxa"/>
          </w:tcPr>
          <w:p w14:paraId="1B8EC46B" w14:textId="2597A2BF" w:rsidR="004355C0" w:rsidRDefault="004355C0" w:rsidP="00A74A6E">
            <w:pPr>
              <w:jc w:val="center"/>
            </w:pPr>
            <w:r>
              <w:t>256QAM</w:t>
            </w:r>
          </w:p>
        </w:tc>
        <w:tc>
          <w:tcPr>
            <w:tcW w:w="1895" w:type="dxa"/>
          </w:tcPr>
          <w:p w14:paraId="4F11EFE6" w14:textId="4F3A7B3B" w:rsidR="004355C0" w:rsidRDefault="00DB0F20" w:rsidP="00A74A6E">
            <w:pPr>
              <w:jc w:val="center"/>
            </w:pPr>
            <w:r>
              <w:t>6.6</w:t>
            </w:r>
          </w:p>
        </w:tc>
        <w:tc>
          <w:tcPr>
            <w:tcW w:w="1895" w:type="dxa"/>
          </w:tcPr>
          <w:p w14:paraId="7E2D18C7" w14:textId="5A79F1E4" w:rsidR="004355C0" w:rsidRDefault="00DB0F20" w:rsidP="00A74A6E">
            <w:pPr>
              <w:jc w:val="center"/>
            </w:pPr>
            <w:r>
              <w:t>6.8</w:t>
            </w:r>
          </w:p>
        </w:tc>
      </w:tr>
    </w:tbl>
    <w:p w14:paraId="5219B57D" w14:textId="58604E93" w:rsidR="00CC35EC" w:rsidRDefault="00A74A6E" w:rsidP="00A74A6E">
      <w:pPr>
        <w:jc w:val="center"/>
      </w:pPr>
      <w:r>
        <w:t>Table 1 – PC</w:t>
      </w:r>
      <w:r w:rsidR="002011DE">
        <w:t>2</w:t>
      </w:r>
      <w:r>
        <w:t xml:space="preserve"> MPR data</w:t>
      </w:r>
      <w:r w:rsidR="002011DE">
        <w:t xml:space="preserve"> with 2</w:t>
      </w:r>
      <w:r w:rsidR="000C6A68">
        <w:t>-</w:t>
      </w:r>
      <w:r w:rsidR="002011DE">
        <w:t>23 dBm PAs</w:t>
      </w:r>
      <w:r>
        <w:t xml:space="preserve"> for contiguous RBs</w:t>
      </w:r>
    </w:p>
    <w:p w14:paraId="585599B7" w14:textId="6940FE17" w:rsidR="00A74A6E" w:rsidRDefault="00A74A6E" w:rsidP="0005283C"/>
    <w:p w14:paraId="6E14224A" w14:textId="0D8789A3" w:rsidR="00183706" w:rsidRDefault="007C5418" w:rsidP="0005283C">
      <w:r>
        <w:t xml:space="preserve">As testing was done </w:t>
      </w:r>
      <w:r w:rsidR="008F21E7">
        <w:t>under nominal conditions</w:t>
      </w:r>
      <w:r>
        <w:t xml:space="preserve"> the</w:t>
      </w:r>
      <w:r w:rsidR="00642008">
        <w:t xml:space="preserve"> </w:t>
      </w:r>
      <w:r>
        <w:t xml:space="preserve">specifications for </w:t>
      </w:r>
      <w:r w:rsidR="00710BED">
        <w:t xml:space="preserve">V2X </w:t>
      </w:r>
      <w:r w:rsidR="00F0416B">
        <w:t>intra-band con-current</w:t>
      </w:r>
      <w:r w:rsidR="00710BED">
        <w:t xml:space="preserve"> </w:t>
      </w:r>
      <w:r>
        <w:t>MPRs should be larger than</w:t>
      </w:r>
      <w:r w:rsidR="00191782">
        <w:t xml:space="preserve"> </w:t>
      </w:r>
      <w:r w:rsidR="00537CBB">
        <w:t xml:space="preserve">the </w:t>
      </w:r>
      <w:r w:rsidR="00191782">
        <w:t>values measured in this work</w:t>
      </w:r>
      <w:r>
        <w:t xml:space="preserve"> </w:t>
      </w:r>
      <w:r w:rsidR="00642008">
        <w:t xml:space="preserve">in order </w:t>
      </w:r>
      <w:r>
        <w:t>to account for</w:t>
      </w:r>
      <w:r w:rsidR="00C71C6D">
        <w:t xml:space="preserve"> </w:t>
      </w:r>
      <w:r w:rsidR="00710BED">
        <w:t xml:space="preserve">variation over </w:t>
      </w:r>
      <w:r w:rsidR="00537CBB">
        <w:t xml:space="preserve">parts and </w:t>
      </w:r>
      <w:r w:rsidR="00710BED">
        <w:t>t</w:t>
      </w:r>
      <w:r>
        <w:t>emperature</w:t>
      </w:r>
      <w:r w:rsidR="00663063">
        <w:t xml:space="preserve">. </w:t>
      </w:r>
      <w:r w:rsidR="0093489B">
        <w:t xml:space="preserve">Comparing these measurements with the simulation results in [2], we see </w:t>
      </w:r>
      <w:r w:rsidR="00F72C35">
        <w:t>some</w:t>
      </w:r>
      <w:r w:rsidR="0093489B">
        <w:t xml:space="preserve"> differences between them</w:t>
      </w:r>
      <w:r w:rsidR="00F72C35">
        <w:t xml:space="preserve"> especially when margin is added for </w:t>
      </w:r>
      <w:r w:rsidR="00191782">
        <w:t>temperature and part variations</w:t>
      </w:r>
      <w:r w:rsidR="0093489B">
        <w:t>. We believe that further discussion is required to arrive at suitable MPR numbers for NR V2X intra-band con-current operation</w:t>
      </w:r>
    </w:p>
    <w:p w14:paraId="6CD602D9" w14:textId="6F5557E9" w:rsidR="0093489B" w:rsidRDefault="0093489B" w:rsidP="0093489B">
      <w:pPr>
        <w:rPr>
          <w:b/>
          <w:bCs/>
        </w:rPr>
      </w:pPr>
      <w:r w:rsidRPr="00223C9F">
        <w:rPr>
          <w:b/>
          <w:bCs/>
        </w:rPr>
        <w:t>Observation</w:t>
      </w:r>
      <w:r>
        <w:rPr>
          <w:b/>
          <w:bCs/>
        </w:rPr>
        <w:t>1</w:t>
      </w:r>
      <w:r w:rsidRPr="00223C9F">
        <w:rPr>
          <w:b/>
          <w:bCs/>
        </w:rPr>
        <w:t xml:space="preserve">: </w:t>
      </w:r>
      <w:r>
        <w:rPr>
          <w:b/>
          <w:bCs/>
        </w:rPr>
        <w:t xml:space="preserve">Measured MPR </w:t>
      </w:r>
      <w:r w:rsidR="00510E29">
        <w:rPr>
          <w:b/>
          <w:bCs/>
        </w:rPr>
        <w:t>results</w:t>
      </w:r>
      <w:r w:rsidR="00751E84">
        <w:rPr>
          <w:b/>
          <w:bCs/>
        </w:rPr>
        <w:t xml:space="preserve"> </w:t>
      </w:r>
      <w:r w:rsidR="005901A8">
        <w:rPr>
          <w:b/>
          <w:bCs/>
        </w:rPr>
        <w:t>are</w:t>
      </w:r>
      <w:r w:rsidR="00751E84">
        <w:rPr>
          <w:b/>
          <w:bCs/>
        </w:rPr>
        <w:t xml:space="preserve"> typical </w:t>
      </w:r>
      <w:r w:rsidR="00710BED">
        <w:rPr>
          <w:b/>
          <w:bCs/>
        </w:rPr>
        <w:t>values,</w:t>
      </w:r>
      <w:r w:rsidR="00751E84">
        <w:rPr>
          <w:b/>
          <w:bCs/>
        </w:rPr>
        <w:t xml:space="preserve"> and they</w:t>
      </w:r>
      <w:r w:rsidR="00510E29">
        <w:rPr>
          <w:b/>
          <w:bCs/>
        </w:rPr>
        <w:t xml:space="preserve"> </w:t>
      </w:r>
      <w:r w:rsidR="002011DE">
        <w:rPr>
          <w:b/>
          <w:bCs/>
        </w:rPr>
        <w:t xml:space="preserve">show larger </w:t>
      </w:r>
      <w:r w:rsidR="005901A8">
        <w:rPr>
          <w:b/>
          <w:bCs/>
        </w:rPr>
        <w:t xml:space="preserve">numbers </w:t>
      </w:r>
      <w:r w:rsidR="002011DE">
        <w:rPr>
          <w:b/>
          <w:bCs/>
        </w:rPr>
        <w:t xml:space="preserve">for some RB allocations compared to the </w:t>
      </w:r>
      <w:r w:rsidR="00751E84">
        <w:rPr>
          <w:b/>
          <w:bCs/>
        </w:rPr>
        <w:t xml:space="preserve">simulation </w:t>
      </w:r>
      <w:r w:rsidR="002011DE">
        <w:rPr>
          <w:b/>
          <w:bCs/>
        </w:rPr>
        <w:t>results in</w:t>
      </w:r>
      <w:r>
        <w:rPr>
          <w:b/>
          <w:bCs/>
        </w:rPr>
        <w:t xml:space="preserve"> [2]</w:t>
      </w:r>
    </w:p>
    <w:p w14:paraId="105AEC96" w14:textId="1698C224" w:rsidR="008C0F3C" w:rsidRPr="008C0F3C" w:rsidRDefault="008C0F3C" w:rsidP="0093489B">
      <w:r w:rsidRPr="008C0F3C">
        <w:t xml:space="preserve">For the </w:t>
      </w:r>
      <w:r>
        <w:t xml:space="preserve">PC3 case of 20 dBm + 20 dBm we think that the MPRs should be </w:t>
      </w:r>
      <w:r w:rsidR="00380FC7">
        <w:t>~</w:t>
      </w:r>
      <w:r>
        <w:t xml:space="preserve">3 dB smaller than the values given in table 1 as the </w:t>
      </w:r>
      <w:r w:rsidR="009C4546">
        <w:t>same PA’s are used with each backed-off by 3dB.</w:t>
      </w:r>
      <w:r>
        <w:t xml:space="preserve"> </w:t>
      </w:r>
    </w:p>
    <w:p w14:paraId="15E4E346" w14:textId="71EC1937" w:rsidR="002011DE" w:rsidRPr="00223C9F" w:rsidRDefault="002011DE" w:rsidP="0093489B">
      <w:pPr>
        <w:rPr>
          <w:b/>
          <w:bCs/>
        </w:rPr>
      </w:pPr>
      <w:r>
        <w:rPr>
          <w:b/>
          <w:bCs/>
        </w:rPr>
        <w:t>Observation</w:t>
      </w:r>
      <w:r w:rsidR="008C0F3C">
        <w:rPr>
          <w:b/>
          <w:bCs/>
        </w:rPr>
        <w:t xml:space="preserve">2: Expect to see </w:t>
      </w:r>
      <w:r w:rsidR="00380FC7">
        <w:rPr>
          <w:b/>
          <w:bCs/>
        </w:rPr>
        <w:t>approximately</w:t>
      </w:r>
      <w:r w:rsidR="008C0F3C">
        <w:rPr>
          <w:b/>
          <w:bCs/>
        </w:rPr>
        <w:t xml:space="preserve"> </w:t>
      </w:r>
      <w:r w:rsidR="00380FC7">
        <w:rPr>
          <w:b/>
          <w:bCs/>
        </w:rPr>
        <w:t xml:space="preserve">a </w:t>
      </w:r>
      <w:r w:rsidR="008C0F3C">
        <w:rPr>
          <w:b/>
          <w:bCs/>
        </w:rPr>
        <w:t>3 dB</w:t>
      </w:r>
      <w:r w:rsidR="009C4546">
        <w:rPr>
          <w:b/>
          <w:bCs/>
        </w:rPr>
        <w:t xml:space="preserve"> </w:t>
      </w:r>
      <w:r w:rsidR="008C0F3C">
        <w:rPr>
          <w:b/>
          <w:bCs/>
        </w:rPr>
        <w:t>difference</w:t>
      </w:r>
      <w:r w:rsidR="009C4546">
        <w:rPr>
          <w:b/>
          <w:bCs/>
        </w:rPr>
        <w:t xml:space="preserve"> in MPR between the 23+23=26 dBm and 20+20=23 dBm cases.</w:t>
      </w:r>
    </w:p>
    <w:p w14:paraId="2A43A2DE" w14:textId="5993CA73" w:rsidR="00183706" w:rsidRPr="00D61906" w:rsidRDefault="0093489B" w:rsidP="00D61906">
      <w:pPr>
        <w:rPr>
          <w:b/>
          <w:bCs/>
        </w:rPr>
      </w:pPr>
      <w:r w:rsidRPr="00223C9F">
        <w:rPr>
          <w:b/>
          <w:bCs/>
        </w:rPr>
        <w:t>Proposal</w:t>
      </w:r>
      <w:r>
        <w:rPr>
          <w:b/>
          <w:bCs/>
        </w:rPr>
        <w:t xml:space="preserve"> 1</w:t>
      </w:r>
      <w:r w:rsidRPr="00223C9F">
        <w:rPr>
          <w:b/>
          <w:bCs/>
        </w:rPr>
        <w:t xml:space="preserve">: </w:t>
      </w:r>
      <w:r>
        <w:rPr>
          <w:b/>
          <w:bCs/>
        </w:rPr>
        <w:t xml:space="preserve">Based on these MPR measurements it </w:t>
      </w:r>
      <w:r w:rsidR="00CC05E6">
        <w:rPr>
          <w:b/>
          <w:bCs/>
        </w:rPr>
        <w:t xml:space="preserve">is </w:t>
      </w:r>
      <w:r>
        <w:rPr>
          <w:b/>
          <w:bCs/>
        </w:rPr>
        <w:t>proposed that further discussion is needed to</w:t>
      </w:r>
      <w:r w:rsidR="00831CC5">
        <w:rPr>
          <w:b/>
          <w:bCs/>
        </w:rPr>
        <w:t xml:space="preserve"> determine</w:t>
      </w:r>
      <w:r w:rsidR="00D61906" w:rsidRPr="00D61906">
        <w:rPr>
          <w:b/>
          <w:bCs/>
        </w:rPr>
        <w:t xml:space="preserve"> </w:t>
      </w:r>
      <w:r w:rsidR="00EE7D59" w:rsidRPr="00D61906">
        <w:rPr>
          <w:b/>
          <w:bCs/>
        </w:rPr>
        <w:t>t</w:t>
      </w:r>
      <w:r w:rsidR="00D61906">
        <w:rPr>
          <w:b/>
          <w:bCs/>
        </w:rPr>
        <w:t>he</w:t>
      </w:r>
      <w:r w:rsidR="00EE7D59" w:rsidRPr="00D61906">
        <w:rPr>
          <w:b/>
          <w:bCs/>
        </w:rPr>
        <w:t xml:space="preserve"> </w:t>
      </w:r>
      <w:r w:rsidRPr="00D61906">
        <w:rPr>
          <w:b/>
          <w:bCs/>
        </w:rPr>
        <w:t xml:space="preserve">MPR values </w:t>
      </w:r>
      <w:r w:rsidR="00EE7D59" w:rsidRPr="00D61906">
        <w:rPr>
          <w:b/>
          <w:bCs/>
        </w:rPr>
        <w:t>to select for</w:t>
      </w:r>
      <w:r w:rsidRPr="00D61906">
        <w:rPr>
          <w:b/>
          <w:bCs/>
        </w:rPr>
        <w:t xml:space="preserve"> NR V2X intra-band con-current operation</w:t>
      </w:r>
      <w:r w:rsidR="00006F18" w:rsidRPr="00D61906">
        <w:rPr>
          <w:b/>
          <w:bCs/>
        </w:rPr>
        <w:t xml:space="preserve"> for each </w:t>
      </w:r>
      <w:r w:rsidR="00E33CE8" w:rsidRPr="00D61906">
        <w:rPr>
          <w:b/>
          <w:bCs/>
        </w:rPr>
        <w:t>power class</w:t>
      </w:r>
      <w:r w:rsidRPr="00D61906">
        <w:rPr>
          <w:b/>
          <w:bCs/>
        </w:rPr>
        <w:t>.</w:t>
      </w:r>
    </w:p>
    <w:p w14:paraId="493E518B" w14:textId="34996AC4" w:rsidR="00717C2A" w:rsidRDefault="005A060A" w:rsidP="0005283C">
      <w:r>
        <w:t xml:space="preserve">It is expected that 2PA intra-band scenarios should have at least </w:t>
      </w:r>
      <w:r w:rsidR="00A90D36">
        <w:t>the same</w:t>
      </w:r>
      <w:r w:rsidR="00263BAD">
        <w:t xml:space="preserve"> if not larger MPRs compared to the </w:t>
      </w:r>
      <w:r w:rsidR="00FC1F94">
        <w:t xml:space="preserve">corresponding </w:t>
      </w:r>
      <w:r w:rsidR="00263BAD">
        <w:t>single PA scenario.</w:t>
      </w:r>
      <w:r w:rsidR="00FC1F94">
        <w:t xml:space="preserve"> For </w:t>
      </w:r>
      <w:r w:rsidR="00215EE5">
        <w:t>example,</w:t>
      </w:r>
      <w:r w:rsidR="00FC1F94">
        <w:t xml:space="preserve"> the MPRs for PC2=23 dBm + 23 dBm should be larger or at least the same as the MPRs for a single 23 dBm </w:t>
      </w:r>
      <w:r w:rsidR="00215EE5">
        <w:t>PA</w:t>
      </w:r>
      <w:r w:rsidR="0018009C">
        <w:t xml:space="preserve"> for the same RB allocations</w:t>
      </w:r>
      <w:r w:rsidR="00215EE5">
        <w:t>. It</w:t>
      </w:r>
      <w:r w:rsidR="00717C2A">
        <w:t xml:space="preserve"> is proposed that the</w:t>
      </w:r>
      <w:r w:rsidR="00DA001D">
        <w:t xml:space="preserve"> for a given power class the</w:t>
      </w:r>
      <w:r w:rsidR="00717C2A">
        <w:t xml:space="preserve"> MPR for </w:t>
      </w:r>
      <w:r w:rsidR="00191782">
        <w:t xml:space="preserve">V2X </w:t>
      </w:r>
      <w:r w:rsidR="00642008">
        <w:t>intra-band con-current</w:t>
      </w:r>
      <w:r w:rsidR="00717C2A">
        <w:t xml:space="preserve"> operation be calculated as follows:</w:t>
      </w:r>
    </w:p>
    <w:p w14:paraId="6A154D35" w14:textId="786C87BB" w:rsidR="00717C2A" w:rsidRDefault="00717C2A" w:rsidP="00717C2A">
      <w:pPr>
        <w:jc w:val="center"/>
        <w:rPr>
          <w:rFonts w:eastAsia="SimSun"/>
          <w:noProof/>
        </w:rPr>
      </w:pPr>
      <w:r w:rsidRPr="008C376D">
        <w:rPr>
          <w:rFonts w:eastAsia="SimSun"/>
          <w:noProof/>
        </w:rPr>
        <w:t>MPR = MAX(MPR</w:t>
      </w:r>
      <w:r w:rsidRPr="008C376D">
        <w:rPr>
          <w:rFonts w:eastAsia="SimSun"/>
          <w:noProof/>
          <w:vertAlign w:val="subscript"/>
        </w:rPr>
        <w:t>single,</w:t>
      </w:r>
      <w:r>
        <w:rPr>
          <w:rFonts w:eastAsia="SimSun"/>
          <w:noProof/>
          <w:vertAlign w:val="subscript"/>
        </w:rPr>
        <w:t>NR</w:t>
      </w:r>
      <w:r w:rsidRPr="008C376D">
        <w:rPr>
          <w:rFonts w:eastAsia="SimSun"/>
          <w:noProof/>
        </w:rPr>
        <w:t xml:space="preserve">, </w:t>
      </w:r>
      <w:r>
        <w:rPr>
          <w:rFonts w:eastAsia="SimSun"/>
          <w:noProof/>
        </w:rPr>
        <w:t>MPR</w:t>
      </w:r>
      <w:r w:rsidRPr="00717C2A">
        <w:rPr>
          <w:rFonts w:eastAsia="SimSun"/>
          <w:noProof/>
          <w:vertAlign w:val="subscript"/>
        </w:rPr>
        <w:t>V2X</w:t>
      </w:r>
      <w:r>
        <w:rPr>
          <w:rFonts w:eastAsia="SimSun"/>
          <w:noProof/>
        </w:rPr>
        <w:t xml:space="preserve">, </w:t>
      </w:r>
      <w:r w:rsidRPr="008C376D">
        <w:rPr>
          <w:rFonts w:eastAsia="SimSun"/>
          <w:noProof/>
        </w:rPr>
        <w:t>MPR</w:t>
      </w:r>
      <w:r>
        <w:rPr>
          <w:rFonts w:eastAsia="SimSun"/>
          <w:noProof/>
          <w:vertAlign w:val="subscript"/>
        </w:rPr>
        <w:t>Uu_SL</w:t>
      </w:r>
      <w:r w:rsidR="001671AE">
        <w:rPr>
          <w:rFonts w:eastAsia="SimSun"/>
          <w:noProof/>
          <w:vertAlign w:val="subscript"/>
        </w:rPr>
        <w:t>_Intraband</w:t>
      </w:r>
      <w:r w:rsidRPr="008C376D">
        <w:rPr>
          <w:rFonts w:eastAsia="SimSun"/>
          <w:noProof/>
        </w:rPr>
        <w:t xml:space="preserve"> )</w:t>
      </w:r>
    </w:p>
    <w:p w14:paraId="42246448" w14:textId="39D9217C" w:rsidR="00717C2A" w:rsidRDefault="00717C2A" w:rsidP="00717C2A">
      <w:r>
        <w:t>Where:</w:t>
      </w:r>
    </w:p>
    <w:p w14:paraId="0739E066" w14:textId="77777777" w:rsidR="00717C2A" w:rsidRDefault="00717C2A" w:rsidP="00717C2A">
      <w:pPr>
        <w:pStyle w:val="ListParagraph"/>
        <w:numPr>
          <w:ilvl w:val="0"/>
          <w:numId w:val="25"/>
        </w:numPr>
      </w:pPr>
      <w:r w:rsidRPr="008C376D">
        <w:rPr>
          <w:rFonts w:eastAsia="SimSun"/>
          <w:noProof/>
        </w:rPr>
        <w:t>MPR</w:t>
      </w:r>
      <w:r w:rsidRPr="008C376D">
        <w:rPr>
          <w:rFonts w:eastAsia="SimSun"/>
          <w:noProof/>
          <w:vertAlign w:val="subscript"/>
        </w:rPr>
        <w:t>single,</w:t>
      </w:r>
      <w:r>
        <w:rPr>
          <w:rFonts w:eastAsia="SimSun"/>
          <w:noProof/>
          <w:vertAlign w:val="subscript"/>
        </w:rPr>
        <w:t xml:space="preserve">NR </w:t>
      </w:r>
      <w:r w:rsidRPr="00717C2A">
        <w:rPr>
          <w:rFonts w:eastAsia="SimSun"/>
          <w:noProof/>
        </w:rPr>
        <w:t>is the MPR defined</w:t>
      </w:r>
      <w:r>
        <w:rPr>
          <w:rFonts w:eastAsia="SimSun"/>
          <w:noProof/>
          <w:vertAlign w:val="subscript"/>
        </w:rPr>
        <w:t xml:space="preserve"> </w:t>
      </w:r>
      <w:r>
        <w:t>in TS 38.101-1, section 6.2.2</w:t>
      </w:r>
    </w:p>
    <w:p w14:paraId="59E657BB" w14:textId="02249AB0" w:rsidR="00717C2A" w:rsidRDefault="00717C2A" w:rsidP="00717C2A">
      <w:pPr>
        <w:pStyle w:val="ListParagraph"/>
        <w:numPr>
          <w:ilvl w:val="0"/>
          <w:numId w:val="25"/>
        </w:numPr>
      </w:pPr>
      <w:r>
        <w:rPr>
          <w:rFonts w:eastAsia="SimSun"/>
          <w:noProof/>
        </w:rPr>
        <w:t>MPR</w:t>
      </w:r>
      <w:r w:rsidRPr="00717C2A">
        <w:rPr>
          <w:rFonts w:eastAsia="SimSun"/>
          <w:noProof/>
          <w:vertAlign w:val="subscript"/>
        </w:rPr>
        <w:t>V2X</w:t>
      </w:r>
      <w:r>
        <w:rPr>
          <w:rFonts w:eastAsia="SimSun"/>
          <w:noProof/>
          <w:vertAlign w:val="subscript"/>
        </w:rPr>
        <w:t xml:space="preserve"> </w:t>
      </w:r>
      <w:r>
        <w:t>is the MPR defined in TS 38.101-1, section 6.2E.2.2</w:t>
      </w:r>
    </w:p>
    <w:p w14:paraId="514F02B7" w14:textId="4F2FB06B" w:rsidR="001671AE" w:rsidRDefault="001671AE" w:rsidP="00717C2A">
      <w:pPr>
        <w:pStyle w:val="ListParagraph"/>
        <w:numPr>
          <w:ilvl w:val="0"/>
          <w:numId w:val="25"/>
        </w:numPr>
      </w:pPr>
      <w:r w:rsidRPr="008C376D">
        <w:rPr>
          <w:rFonts w:eastAsia="SimSun"/>
          <w:noProof/>
        </w:rPr>
        <w:t>MPR</w:t>
      </w:r>
      <w:r>
        <w:rPr>
          <w:rFonts w:eastAsia="SimSun"/>
          <w:noProof/>
          <w:vertAlign w:val="subscript"/>
        </w:rPr>
        <w:t xml:space="preserve">Uu_SL_Intraband </w:t>
      </w:r>
      <w:r w:rsidRPr="0090627C">
        <w:rPr>
          <w:rFonts w:eastAsia="SimSun"/>
          <w:noProof/>
        </w:rPr>
        <w:t xml:space="preserve">is </w:t>
      </w:r>
      <w:r w:rsidR="00510E29">
        <w:rPr>
          <w:rFonts w:eastAsia="SimSun"/>
          <w:noProof/>
        </w:rPr>
        <w:t xml:space="preserve">Uu/SL intra-band MPR </w:t>
      </w:r>
      <w:r w:rsidRPr="0090627C">
        <w:rPr>
          <w:rFonts w:eastAsia="SimSun"/>
          <w:noProof/>
        </w:rPr>
        <w:t>defined</w:t>
      </w:r>
      <w:r>
        <w:rPr>
          <w:rFonts w:eastAsia="SimSun"/>
          <w:noProof/>
          <w:vertAlign w:val="subscript"/>
        </w:rPr>
        <w:t xml:space="preserve"> </w:t>
      </w:r>
      <w:r w:rsidR="00510E29">
        <w:t>in</w:t>
      </w:r>
      <w:r>
        <w:t xml:space="preserve"> </w:t>
      </w:r>
      <w:r w:rsidR="0090627C">
        <w:t>this work</w:t>
      </w:r>
    </w:p>
    <w:p w14:paraId="3795C784" w14:textId="1D0560CA" w:rsidR="00D4025F" w:rsidRDefault="00D4025F" w:rsidP="0005283C"/>
    <w:p w14:paraId="3EC5DE29" w14:textId="7E1333DF" w:rsidR="00D4025F" w:rsidRDefault="00D4025F" w:rsidP="00D4025F">
      <w:pPr>
        <w:rPr>
          <w:b/>
          <w:bCs/>
        </w:rPr>
      </w:pPr>
      <w:r w:rsidRPr="00223C9F">
        <w:rPr>
          <w:b/>
          <w:bCs/>
        </w:rPr>
        <w:t>Proposal</w:t>
      </w:r>
      <w:r>
        <w:rPr>
          <w:b/>
          <w:bCs/>
        </w:rPr>
        <w:t xml:space="preserve"> 2</w:t>
      </w:r>
      <w:r w:rsidRPr="00223C9F">
        <w:rPr>
          <w:b/>
          <w:bCs/>
        </w:rPr>
        <w:t xml:space="preserve">: </w:t>
      </w:r>
      <w:r>
        <w:rPr>
          <w:b/>
          <w:bCs/>
        </w:rPr>
        <w:t>As 2 PA operation cannot have lower MPRs than single PA operation the intra-band V2X MPR should be determined by the following formula</w:t>
      </w:r>
      <w:r w:rsidR="00C76F45">
        <w:rPr>
          <w:b/>
          <w:bCs/>
        </w:rPr>
        <w:t>:</w:t>
      </w:r>
    </w:p>
    <w:p w14:paraId="41FCFD1C" w14:textId="77777777" w:rsidR="00C76F45" w:rsidRPr="00C76F45" w:rsidRDefault="00C76F45" w:rsidP="00C76F45">
      <w:pPr>
        <w:jc w:val="center"/>
        <w:rPr>
          <w:rFonts w:eastAsia="SimSun"/>
          <w:b/>
          <w:bCs/>
          <w:noProof/>
        </w:rPr>
      </w:pPr>
      <w:r w:rsidRPr="00C76F45">
        <w:rPr>
          <w:rFonts w:eastAsia="SimSun"/>
          <w:b/>
          <w:bCs/>
          <w:noProof/>
        </w:rPr>
        <w:t>MPR = MAX(MPR</w:t>
      </w:r>
      <w:r w:rsidRPr="00C76F45">
        <w:rPr>
          <w:rFonts w:eastAsia="SimSun"/>
          <w:b/>
          <w:bCs/>
          <w:noProof/>
          <w:vertAlign w:val="subscript"/>
        </w:rPr>
        <w:t>single,NR</w:t>
      </w:r>
      <w:r w:rsidRPr="00C76F45">
        <w:rPr>
          <w:rFonts w:eastAsia="SimSun"/>
          <w:b/>
          <w:bCs/>
          <w:noProof/>
        </w:rPr>
        <w:t>, MPR</w:t>
      </w:r>
      <w:r w:rsidRPr="00C76F45">
        <w:rPr>
          <w:rFonts w:eastAsia="SimSun"/>
          <w:b/>
          <w:bCs/>
          <w:noProof/>
          <w:vertAlign w:val="subscript"/>
        </w:rPr>
        <w:t>V2X</w:t>
      </w:r>
      <w:r w:rsidRPr="00C76F45">
        <w:rPr>
          <w:rFonts w:eastAsia="SimSun"/>
          <w:b/>
          <w:bCs/>
          <w:noProof/>
        </w:rPr>
        <w:t>, MPR</w:t>
      </w:r>
      <w:r w:rsidRPr="00C76F45">
        <w:rPr>
          <w:rFonts w:eastAsia="SimSun"/>
          <w:b/>
          <w:bCs/>
          <w:noProof/>
          <w:vertAlign w:val="subscript"/>
        </w:rPr>
        <w:t>Uu_SL_Intraband</w:t>
      </w:r>
      <w:r w:rsidRPr="00C76F45">
        <w:rPr>
          <w:rFonts w:eastAsia="SimSun"/>
          <w:b/>
          <w:bCs/>
          <w:noProof/>
        </w:rPr>
        <w:t xml:space="preserve"> )</w:t>
      </w:r>
    </w:p>
    <w:p w14:paraId="41B9E720" w14:textId="77777777" w:rsidR="00C76F45" w:rsidRDefault="00C76F45" w:rsidP="00D4025F">
      <w:pPr>
        <w:rPr>
          <w:b/>
          <w:bCs/>
        </w:rPr>
      </w:pPr>
    </w:p>
    <w:p w14:paraId="725EED63" w14:textId="1BA4D312" w:rsidR="00D4025F" w:rsidRDefault="00A32251" w:rsidP="0005283C">
      <w:r>
        <w:t xml:space="preserve">The basic </w:t>
      </w:r>
      <w:r w:rsidR="00D53753">
        <w:t>as</w:t>
      </w:r>
      <w:r>
        <w:t>sumption is that</w:t>
      </w:r>
      <w:r w:rsidR="00C76F45">
        <w:t xml:space="preserve"> common RF hardware will be used for both </w:t>
      </w:r>
      <w:r w:rsidR="007C4330">
        <w:t xml:space="preserve">V2X </w:t>
      </w:r>
      <w:r w:rsidR="00C76F45">
        <w:t>intra-band</w:t>
      </w:r>
      <w:r w:rsidR="00B2255C">
        <w:t xml:space="preserve"> </w:t>
      </w:r>
      <w:r w:rsidR="006C2B3D">
        <w:t xml:space="preserve">con-current operation </w:t>
      </w:r>
      <w:r w:rsidR="00C76F45">
        <w:t>and ENDC</w:t>
      </w:r>
      <w:r w:rsidR="00EF273C">
        <w:t xml:space="preserve"> as these are both 2PA applications</w:t>
      </w:r>
      <w:r w:rsidR="00C76F45">
        <w:t xml:space="preserve">. </w:t>
      </w:r>
      <w:r w:rsidR="006C2B3D">
        <w:t>Therefore,</w:t>
      </w:r>
      <w:r w:rsidR="00C76F45">
        <w:t xml:space="preserve"> </w:t>
      </w:r>
      <w:r w:rsidR="004D69EB">
        <w:t xml:space="preserve">it should </w:t>
      </w:r>
      <w:r w:rsidR="00FF24E3">
        <w:t xml:space="preserve">be </w:t>
      </w:r>
      <w:r w:rsidR="00B84B76">
        <w:t>determined</w:t>
      </w:r>
      <w:r w:rsidR="0097368D">
        <w:t xml:space="preserve"> whether the </w:t>
      </w:r>
      <w:r w:rsidR="006C2B3D">
        <w:t xml:space="preserve">existing </w:t>
      </w:r>
      <w:r w:rsidR="0097368D">
        <w:t xml:space="preserve">ENDC specifications can be reused for Uu/SL intra-band operation. The consequences of </w:t>
      </w:r>
      <w:r w:rsidR="00642008">
        <w:t xml:space="preserve">not doing such a study and </w:t>
      </w:r>
      <w:r>
        <w:t>developing</w:t>
      </w:r>
      <w:r w:rsidR="0097368D">
        <w:t xml:space="preserve"> </w:t>
      </w:r>
      <w:r w:rsidR="004D69EB">
        <w:t xml:space="preserve">V2X </w:t>
      </w:r>
      <w:r w:rsidR="0097368D">
        <w:t xml:space="preserve">intra-band </w:t>
      </w:r>
      <w:r w:rsidR="00B2255C">
        <w:t xml:space="preserve">con-current </w:t>
      </w:r>
      <w:r w:rsidR="0097368D">
        <w:t>MPR spec</w:t>
      </w:r>
      <w:r w:rsidR="00510E29">
        <w:t>ifications</w:t>
      </w:r>
      <w:r>
        <w:t xml:space="preserve"> in isolation is that</w:t>
      </w:r>
      <w:r w:rsidR="0097368D">
        <w:t xml:space="preserve"> </w:t>
      </w:r>
      <w:r w:rsidR="00510E29">
        <w:t>the</w:t>
      </w:r>
      <w:r w:rsidR="00642008">
        <w:t>se MPR values</w:t>
      </w:r>
      <w:r w:rsidR="00510E29">
        <w:t xml:space="preserve"> </w:t>
      </w:r>
      <w:r w:rsidR="0097368D">
        <w:t>may not be supportable on existing ENDC hardware.</w:t>
      </w:r>
      <w:r w:rsidR="006C2B3D">
        <w:t xml:space="preserve"> The basic assumption has always been that the V2X specifications will not tighten RF requirements </w:t>
      </w:r>
      <w:r w:rsidR="006840A2">
        <w:t>over and above</w:t>
      </w:r>
      <w:r w:rsidR="006C2B3D">
        <w:t xml:space="preserve"> what is called for by Uu applications.</w:t>
      </w:r>
    </w:p>
    <w:p w14:paraId="27A9C2C7" w14:textId="5A70C948" w:rsidR="00A32251" w:rsidRDefault="00A32251" w:rsidP="0005283C">
      <w:pPr>
        <w:rPr>
          <w:b/>
          <w:bCs/>
        </w:rPr>
      </w:pPr>
      <w:r w:rsidRPr="006C2B3D">
        <w:rPr>
          <w:b/>
          <w:bCs/>
        </w:rPr>
        <w:lastRenderedPageBreak/>
        <w:t xml:space="preserve">Observation </w:t>
      </w:r>
      <w:r w:rsidR="00006F18">
        <w:rPr>
          <w:b/>
          <w:bCs/>
        </w:rPr>
        <w:t>3</w:t>
      </w:r>
      <w:r w:rsidRPr="006C2B3D">
        <w:rPr>
          <w:b/>
          <w:bCs/>
        </w:rPr>
        <w:t xml:space="preserve">: If Intra-band V2X con-current MPRs are </w:t>
      </w:r>
      <w:r w:rsidR="006C2B3D" w:rsidRPr="006C2B3D">
        <w:rPr>
          <w:b/>
          <w:bCs/>
        </w:rPr>
        <w:t>developed in isolation the</w:t>
      </w:r>
      <w:r w:rsidR="006840A2">
        <w:rPr>
          <w:b/>
          <w:bCs/>
        </w:rPr>
        <w:t>se MPRs</w:t>
      </w:r>
      <w:r w:rsidR="006C2B3D" w:rsidRPr="006C2B3D">
        <w:rPr>
          <w:b/>
          <w:bCs/>
        </w:rPr>
        <w:t xml:space="preserve"> may not be supportable on existing RF hardware </w:t>
      </w:r>
      <w:r w:rsidR="00D0186C">
        <w:rPr>
          <w:b/>
          <w:bCs/>
        </w:rPr>
        <w:t xml:space="preserve">that </w:t>
      </w:r>
      <w:r w:rsidR="0018009C">
        <w:rPr>
          <w:b/>
          <w:bCs/>
        </w:rPr>
        <w:t xml:space="preserve">already </w:t>
      </w:r>
      <w:r w:rsidR="00D0186C">
        <w:rPr>
          <w:b/>
          <w:bCs/>
        </w:rPr>
        <w:t>supports</w:t>
      </w:r>
      <w:r w:rsidR="006C2B3D" w:rsidRPr="006C2B3D">
        <w:rPr>
          <w:b/>
          <w:bCs/>
        </w:rPr>
        <w:t xml:space="preserve"> ENDC.</w:t>
      </w:r>
    </w:p>
    <w:p w14:paraId="33E6C458" w14:textId="646A9E8F" w:rsidR="004F2151" w:rsidRPr="006C2B3D" w:rsidRDefault="004F2151" w:rsidP="0005283C">
      <w:pPr>
        <w:rPr>
          <w:b/>
          <w:bCs/>
        </w:rPr>
      </w:pPr>
      <w:r>
        <w:rPr>
          <w:b/>
          <w:bCs/>
        </w:rPr>
        <w:t>Observation 4: V2X specifications should not tighten RF requirements over and above what is called for by Uu applications.</w:t>
      </w:r>
    </w:p>
    <w:p w14:paraId="000B6439" w14:textId="00B50CFD" w:rsidR="00661833" w:rsidRDefault="00661833" w:rsidP="0005283C">
      <w:pPr>
        <w:rPr>
          <w:b/>
          <w:bCs/>
        </w:rPr>
      </w:pPr>
      <w:r w:rsidRPr="00223C9F">
        <w:rPr>
          <w:b/>
          <w:bCs/>
        </w:rPr>
        <w:t>Proposal</w:t>
      </w:r>
      <w:r>
        <w:rPr>
          <w:b/>
          <w:bCs/>
        </w:rPr>
        <w:t xml:space="preserve"> </w:t>
      </w:r>
      <w:r w:rsidR="00A32251">
        <w:rPr>
          <w:b/>
          <w:bCs/>
        </w:rPr>
        <w:t>3</w:t>
      </w:r>
      <w:r w:rsidRPr="00223C9F">
        <w:rPr>
          <w:b/>
          <w:bCs/>
        </w:rPr>
        <w:t>:</w:t>
      </w:r>
      <w:r>
        <w:rPr>
          <w:b/>
          <w:bCs/>
        </w:rPr>
        <w:t xml:space="preserve"> </w:t>
      </w:r>
      <w:r w:rsidR="00A32251">
        <w:rPr>
          <w:b/>
          <w:bCs/>
        </w:rPr>
        <w:t xml:space="preserve">As common RF hardware </w:t>
      </w:r>
      <w:r w:rsidR="007B4AF0">
        <w:rPr>
          <w:b/>
          <w:bCs/>
        </w:rPr>
        <w:t xml:space="preserve">will </w:t>
      </w:r>
      <w:r w:rsidR="00A32251">
        <w:rPr>
          <w:b/>
          <w:bCs/>
        </w:rPr>
        <w:t xml:space="preserve">be used for both intra-band V2X con-current operation and ENDC </w:t>
      </w:r>
      <w:r w:rsidR="00137B26">
        <w:rPr>
          <w:b/>
          <w:bCs/>
        </w:rPr>
        <w:t>it should be</w:t>
      </w:r>
      <w:r w:rsidR="00A32251">
        <w:rPr>
          <w:b/>
          <w:bCs/>
        </w:rPr>
        <w:t xml:space="preserve"> </w:t>
      </w:r>
      <w:r w:rsidR="006840A2">
        <w:rPr>
          <w:b/>
          <w:bCs/>
        </w:rPr>
        <w:t>determine</w:t>
      </w:r>
      <w:r w:rsidR="00137B26">
        <w:rPr>
          <w:b/>
          <w:bCs/>
        </w:rPr>
        <w:t>d</w:t>
      </w:r>
      <w:r w:rsidR="00A32251">
        <w:rPr>
          <w:b/>
          <w:bCs/>
        </w:rPr>
        <w:t xml:space="preserve"> whether the ENDC MPR specifications can be reused for</w:t>
      </w:r>
      <w:r w:rsidR="00137B26">
        <w:rPr>
          <w:b/>
          <w:bCs/>
        </w:rPr>
        <w:t xml:space="preserve"> V2X </w:t>
      </w:r>
      <w:r w:rsidR="00A32251">
        <w:rPr>
          <w:b/>
          <w:bCs/>
        </w:rPr>
        <w:t xml:space="preserve">intra-band </w:t>
      </w:r>
      <w:r w:rsidR="00137B26">
        <w:rPr>
          <w:b/>
          <w:bCs/>
        </w:rPr>
        <w:t xml:space="preserve">con-current </w:t>
      </w:r>
      <w:r w:rsidR="00A32251">
        <w:rPr>
          <w:b/>
          <w:bCs/>
        </w:rPr>
        <w:t>operation</w:t>
      </w:r>
      <w:r>
        <w:rPr>
          <w:b/>
          <w:bCs/>
        </w:rPr>
        <w:t>.</w:t>
      </w:r>
    </w:p>
    <w:p w14:paraId="43001D91" w14:textId="28C04224" w:rsidR="001419DF" w:rsidRPr="001419DF" w:rsidRDefault="001419DF" w:rsidP="001419DF">
      <w:pPr>
        <w:pStyle w:val="Heading2"/>
        <w:rPr>
          <w:bCs/>
        </w:rPr>
      </w:pPr>
      <w:r>
        <w:t xml:space="preserve">2.2 </w:t>
      </w:r>
      <w:r>
        <w:tab/>
      </w:r>
      <w:r>
        <w:rPr>
          <w:rFonts w:cs="Arial"/>
          <w:bCs/>
        </w:rPr>
        <w:t>REFSENS for n79 intra-band concurrent V2X operation</w:t>
      </w:r>
    </w:p>
    <w:p w14:paraId="3E00088E" w14:textId="6C6EF15B" w:rsidR="00A910B6" w:rsidRDefault="00A910B6" w:rsidP="00A910B6">
      <w:r>
        <w:t>In RAN4#100-e REFSENS values for n79 intra-band concurrent operation was presented [</w:t>
      </w:r>
      <w:r w:rsidR="001131F8">
        <w:t>3</w:t>
      </w:r>
      <w:r>
        <w:t>]. It is thought that as the Uu and SL intra-band signals are received simultaneously there may arise a near far issue where one received signal may act as a blocker for the other and in this turn may lead to a degradation in REFSENSE and other RX performance for the blocked receiver</w:t>
      </w:r>
      <w:r w:rsidR="00C5769F">
        <w:t>.</w:t>
      </w:r>
      <w:r>
        <w:t xml:space="preserve"> As the two receive signals may not be situated close to each other the power levels of the two signals at the receiver may be quite different. A similar issue is being discussed in [</w:t>
      </w:r>
      <w:r w:rsidR="001131F8">
        <w:t>4,</w:t>
      </w:r>
      <w:r>
        <w:t xml:space="preserve"> </w:t>
      </w:r>
      <w:r w:rsidR="001131F8">
        <w:t>5</w:t>
      </w:r>
      <w:r>
        <w:t xml:space="preserve">, </w:t>
      </w:r>
      <w:r w:rsidR="001131F8">
        <w:t>6</w:t>
      </w:r>
      <w:r>
        <w:t xml:space="preserve">] where they are attempting to characterize REFSENS degradation as a function of the DL carrier power imbalance. It is suggested that V2X follow the recommendations from that study as a guideline for determining REFSENS and other RX impairments for </w:t>
      </w:r>
      <w:r w:rsidR="00C5769F">
        <w:t xml:space="preserve">V2X </w:t>
      </w:r>
      <w:r>
        <w:t>intra-band con-current operation.</w:t>
      </w:r>
    </w:p>
    <w:p w14:paraId="2254F220" w14:textId="1F138F31" w:rsidR="00A910B6" w:rsidRPr="00223C9F" w:rsidRDefault="00A910B6" w:rsidP="00A910B6">
      <w:pPr>
        <w:rPr>
          <w:b/>
          <w:bCs/>
        </w:rPr>
      </w:pPr>
      <w:r w:rsidRPr="00223C9F">
        <w:rPr>
          <w:b/>
          <w:bCs/>
        </w:rPr>
        <w:t>Observation</w:t>
      </w:r>
      <w:r w:rsidR="00261ECF">
        <w:rPr>
          <w:b/>
          <w:bCs/>
        </w:rPr>
        <w:t>5</w:t>
      </w:r>
      <w:r w:rsidRPr="00223C9F">
        <w:rPr>
          <w:b/>
          <w:bCs/>
        </w:rPr>
        <w:t xml:space="preserve">: </w:t>
      </w:r>
      <w:r>
        <w:rPr>
          <w:b/>
          <w:bCs/>
        </w:rPr>
        <w:t>D</w:t>
      </w:r>
      <w:r w:rsidRPr="00223C9F">
        <w:rPr>
          <w:b/>
          <w:bCs/>
        </w:rPr>
        <w:t xml:space="preserve">iscussion on RX impairments due to DL </w:t>
      </w:r>
      <w:r>
        <w:rPr>
          <w:b/>
          <w:bCs/>
        </w:rPr>
        <w:t xml:space="preserve">power </w:t>
      </w:r>
      <w:r w:rsidRPr="00223C9F">
        <w:rPr>
          <w:b/>
          <w:bCs/>
        </w:rPr>
        <w:t xml:space="preserve">imbalance being conducted in </w:t>
      </w:r>
      <w:r>
        <w:rPr>
          <w:b/>
          <w:bCs/>
        </w:rPr>
        <w:t xml:space="preserve">other </w:t>
      </w:r>
      <w:r w:rsidRPr="00223C9F">
        <w:rPr>
          <w:b/>
          <w:bCs/>
        </w:rPr>
        <w:t>WAN forums</w:t>
      </w:r>
    </w:p>
    <w:p w14:paraId="6A0FF3AA" w14:textId="40772A57" w:rsidR="001419DF" w:rsidRPr="00C5769F" w:rsidRDefault="00A910B6" w:rsidP="00C5769F">
      <w:pPr>
        <w:rPr>
          <w:b/>
          <w:bCs/>
        </w:rPr>
      </w:pPr>
      <w:r w:rsidRPr="00223C9F">
        <w:rPr>
          <w:b/>
          <w:bCs/>
        </w:rPr>
        <w:t>Proposal</w:t>
      </w:r>
      <w:r w:rsidR="008D7F98">
        <w:rPr>
          <w:b/>
          <w:bCs/>
        </w:rPr>
        <w:t>4</w:t>
      </w:r>
      <w:r w:rsidRPr="00223C9F">
        <w:rPr>
          <w:b/>
          <w:bCs/>
        </w:rPr>
        <w:t xml:space="preserve">: </w:t>
      </w:r>
      <w:r>
        <w:rPr>
          <w:b/>
          <w:bCs/>
        </w:rPr>
        <w:t>F</w:t>
      </w:r>
      <w:r w:rsidRPr="00223C9F">
        <w:rPr>
          <w:b/>
          <w:bCs/>
        </w:rPr>
        <w:t xml:space="preserve">ollow guidelines from WAN discussions on DL carrier power imbalance for setting </w:t>
      </w:r>
      <w:r>
        <w:rPr>
          <w:b/>
          <w:bCs/>
        </w:rPr>
        <w:t xml:space="preserve">REFSENSE and other RX </w:t>
      </w:r>
      <w:r w:rsidRPr="00223C9F">
        <w:rPr>
          <w:b/>
          <w:bCs/>
        </w:rPr>
        <w:t xml:space="preserve">specifications for </w:t>
      </w:r>
      <w:r w:rsidR="00C5769F" w:rsidRPr="00223C9F">
        <w:rPr>
          <w:b/>
          <w:bCs/>
        </w:rPr>
        <w:t xml:space="preserve">V2X </w:t>
      </w:r>
      <w:r w:rsidRPr="00223C9F">
        <w:rPr>
          <w:b/>
          <w:bCs/>
        </w:rPr>
        <w:t>intra-band con-current operation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577239DF" w14:textId="71C630FA" w:rsidR="0091262F" w:rsidRDefault="00ED20BE" w:rsidP="005865B2">
      <w:r>
        <w:t xml:space="preserve">To further investigate the issue of MPRs for NR intra-band </w:t>
      </w:r>
      <w:r w:rsidR="000C270F">
        <w:t xml:space="preserve">V2X </w:t>
      </w:r>
      <w:r>
        <w:t xml:space="preserve">con-current operation measurements were made on </w:t>
      </w:r>
      <w:r w:rsidR="000C270F">
        <w:t>several</w:t>
      </w:r>
      <w:r>
        <w:t xml:space="preserve"> PAs. Based on these findings the following observations and proposals are made:</w:t>
      </w:r>
    </w:p>
    <w:p w14:paraId="6F4F6BFA" w14:textId="77777777" w:rsidR="00963E7E" w:rsidRDefault="00963E7E" w:rsidP="00963E7E">
      <w:pPr>
        <w:rPr>
          <w:b/>
          <w:bCs/>
        </w:rPr>
      </w:pPr>
      <w:r w:rsidRPr="00223C9F">
        <w:rPr>
          <w:b/>
          <w:bCs/>
        </w:rPr>
        <w:t>Observation</w:t>
      </w:r>
      <w:r>
        <w:rPr>
          <w:b/>
          <w:bCs/>
        </w:rPr>
        <w:t>1</w:t>
      </w:r>
      <w:r w:rsidRPr="00223C9F">
        <w:rPr>
          <w:b/>
          <w:bCs/>
        </w:rPr>
        <w:t xml:space="preserve">: </w:t>
      </w:r>
      <w:r>
        <w:rPr>
          <w:b/>
          <w:bCs/>
        </w:rPr>
        <w:t>Measured MPR results are typical values, and they show larger numbers for some RB allocations compared to the simulation results in [2]</w:t>
      </w:r>
    </w:p>
    <w:p w14:paraId="115F2FEE" w14:textId="16F0DCA8" w:rsidR="00963E7E" w:rsidRPr="00223C9F" w:rsidRDefault="00963E7E" w:rsidP="00963E7E">
      <w:pPr>
        <w:rPr>
          <w:b/>
          <w:bCs/>
        </w:rPr>
      </w:pPr>
      <w:r>
        <w:rPr>
          <w:b/>
          <w:bCs/>
        </w:rPr>
        <w:t xml:space="preserve">Observation2: Expect to see </w:t>
      </w:r>
      <w:r w:rsidR="00160693">
        <w:rPr>
          <w:b/>
          <w:bCs/>
        </w:rPr>
        <w:t>approximately a</w:t>
      </w:r>
      <w:r>
        <w:rPr>
          <w:b/>
          <w:bCs/>
        </w:rPr>
        <w:t xml:space="preserve"> 3 dB difference in MPR between the 23+23=26 dBm and 20+20=23 dBm cases.</w:t>
      </w:r>
    </w:p>
    <w:p w14:paraId="154743F5" w14:textId="77777777" w:rsidR="00D61906" w:rsidRPr="00D61906" w:rsidRDefault="00D61906" w:rsidP="00D61906">
      <w:pPr>
        <w:rPr>
          <w:b/>
          <w:bCs/>
        </w:rPr>
      </w:pPr>
      <w:r w:rsidRPr="00223C9F">
        <w:rPr>
          <w:b/>
          <w:bCs/>
        </w:rPr>
        <w:t>Proposal</w:t>
      </w:r>
      <w:r>
        <w:rPr>
          <w:b/>
          <w:bCs/>
        </w:rPr>
        <w:t xml:space="preserve"> 1</w:t>
      </w:r>
      <w:r w:rsidRPr="00223C9F">
        <w:rPr>
          <w:b/>
          <w:bCs/>
        </w:rPr>
        <w:t xml:space="preserve">: </w:t>
      </w:r>
      <w:r>
        <w:rPr>
          <w:b/>
          <w:bCs/>
        </w:rPr>
        <w:t>Based on these MPR measurements it is proposed that further discussion is needed to determine</w:t>
      </w:r>
      <w:r w:rsidRPr="00D61906">
        <w:rPr>
          <w:b/>
          <w:bCs/>
        </w:rPr>
        <w:t xml:space="preserve"> t</w:t>
      </w:r>
      <w:r>
        <w:rPr>
          <w:b/>
          <w:bCs/>
        </w:rPr>
        <w:t>he</w:t>
      </w:r>
      <w:r w:rsidRPr="00D61906">
        <w:rPr>
          <w:b/>
          <w:bCs/>
        </w:rPr>
        <w:t xml:space="preserve"> MPR values to select for NR V2X intra-band con-current operation for each power class.</w:t>
      </w:r>
    </w:p>
    <w:p w14:paraId="45E65679" w14:textId="77777777" w:rsidR="00963E7E" w:rsidRPr="00963E7E" w:rsidRDefault="00963E7E" w:rsidP="00963E7E">
      <w:pPr>
        <w:rPr>
          <w:b/>
          <w:bCs/>
        </w:rPr>
      </w:pPr>
      <w:r w:rsidRPr="00963E7E">
        <w:rPr>
          <w:b/>
          <w:bCs/>
        </w:rPr>
        <w:t>Proposal 2: As 2 PA operation cannot have lower MPRs than single PA operation the intra-band V2X MPR should be determined by the following formula:</w:t>
      </w:r>
    </w:p>
    <w:p w14:paraId="3090433D" w14:textId="77777777" w:rsidR="00963E7E" w:rsidRPr="00963E7E" w:rsidRDefault="00963E7E" w:rsidP="00963E7E">
      <w:pPr>
        <w:pStyle w:val="ListParagraph"/>
        <w:numPr>
          <w:ilvl w:val="0"/>
          <w:numId w:val="26"/>
        </w:numPr>
        <w:jc w:val="center"/>
        <w:rPr>
          <w:rFonts w:eastAsia="SimSun"/>
          <w:b/>
          <w:bCs/>
          <w:noProof/>
        </w:rPr>
      </w:pPr>
      <w:r w:rsidRPr="00963E7E">
        <w:rPr>
          <w:rFonts w:eastAsia="SimSun"/>
          <w:b/>
          <w:bCs/>
          <w:noProof/>
        </w:rPr>
        <w:t>MPR = MAX(MPR</w:t>
      </w:r>
      <w:r w:rsidRPr="00963E7E">
        <w:rPr>
          <w:rFonts w:eastAsia="SimSun"/>
          <w:b/>
          <w:bCs/>
          <w:noProof/>
          <w:vertAlign w:val="subscript"/>
        </w:rPr>
        <w:t>single,NR</w:t>
      </w:r>
      <w:r w:rsidRPr="00963E7E">
        <w:rPr>
          <w:rFonts w:eastAsia="SimSun"/>
          <w:b/>
          <w:bCs/>
          <w:noProof/>
        </w:rPr>
        <w:t>, MPR</w:t>
      </w:r>
      <w:r w:rsidRPr="00963E7E">
        <w:rPr>
          <w:rFonts w:eastAsia="SimSun"/>
          <w:b/>
          <w:bCs/>
          <w:noProof/>
          <w:vertAlign w:val="subscript"/>
        </w:rPr>
        <w:t>V2X</w:t>
      </w:r>
      <w:r w:rsidRPr="00963E7E">
        <w:rPr>
          <w:rFonts w:eastAsia="SimSun"/>
          <w:b/>
          <w:bCs/>
          <w:noProof/>
        </w:rPr>
        <w:t>, MPR</w:t>
      </w:r>
      <w:r w:rsidRPr="00963E7E">
        <w:rPr>
          <w:rFonts w:eastAsia="SimSun"/>
          <w:b/>
          <w:bCs/>
          <w:noProof/>
          <w:vertAlign w:val="subscript"/>
        </w:rPr>
        <w:t>Uu_SL_Intraband</w:t>
      </w:r>
      <w:r w:rsidRPr="00963E7E">
        <w:rPr>
          <w:rFonts w:eastAsia="SimSun"/>
          <w:b/>
          <w:bCs/>
          <w:noProof/>
        </w:rPr>
        <w:t xml:space="preserve"> )</w:t>
      </w:r>
    </w:p>
    <w:p w14:paraId="7C22B8C4" w14:textId="77777777" w:rsidR="00963E7E" w:rsidRPr="00963E7E" w:rsidRDefault="00963E7E" w:rsidP="00963E7E">
      <w:pPr>
        <w:rPr>
          <w:b/>
          <w:bCs/>
        </w:rPr>
      </w:pPr>
      <w:r w:rsidRPr="00963E7E">
        <w:rPr>
          <w:b/>
          <w:bCs/>
        </w:rPr>
        <w:t>Observation 3: If Intra-band V2X con-current MPRs are developed in isolation these MPRs may not be supportable on existing RF hardware that already supports ENDC.</w:t>
      </w:r>
    </w:p>
    <w:p w14:paraId="5B1720A0" w14:textId="77777777" w:rsidR="00963E7E" w:rsidRPr="00963E7E" w:rsidRDefault="00963E7E" w:rsidP="00963E7E">
      <w:pPr>
        <w:rPr>
          <w:b/>
          <w:bCs/>
        </w:rPr>
      </w:pPr>
      <w:r w:rsidRPr="00963E7E">
        <w:rPr>
          <w:b/>
          <w:bCs/>
        </w:rPr>
        <w:t>Observation 4: V2X specifications should not tighten RF requirements over and above what is called for by Uu applications.</w:t>
      </w:r>
    </w:p>
    <w:p w14:paraId="214B89D8" w14:textId="77777777" w:rsidR="00963E7E" w:rsidRPr="00963E7E" w:rsidRDefault="00963E7E" w:rsidP="00963E7E">
      <w:pPr>
        <w:rPr>
          <w:b/>
          <w:bCs/>
        </w:rPr>
      </w:pPr>
      <w:r w:rsidRPr="00963E7E">
        <w:rPr>
          <w:b/>
          <w:bCs/>
        </w:rPr>
        <w:t>Proposal 3: As common RF hardware will be used for both intra-band V2X con-current operation and ENDC it should be determined whether the ENDC MPR specifications can be reused for V2X intra-band con-current operation.</w:t>
      </w:r>
    </w:p>
    <w:p w14:paraId="5B51E1C7" w14:textId="77777777" w:rsidR="00963E7E" w:rsidRDefault="00963E7E" w:rsidP="005865B2"/>
    <w:p w14:paraId="67E63057" w14:textId="77777777" w:rsidR="00A910B6" w:rsidRDefault="00A910B6" w:rsidP="00A910B6">
      <w:r>
        <w:t>For determining REFSENS for</w:t>
      </w:r>
      <w:r w:rsidRPr="003000E0">
        <w:t xml:space="preserve"> </w:t>
      </w:r>
      <w:r>
        <w:t>intra-band con-current V2X operation we make the following observation and proposals:</w:t>
      </w:r>
    </w:p>
    <w:p w14:paraId="4EDC50A0" w14:textId="76ACF065" w:rsidR="008D7F98" w:rsidRPr="00223C9F" w:rsidRDefault="008D7F98" w:rsidP="008D7F98">
      <w:pPr>
        <w:rPr>
          <w:b/>
          <w:bCs/>
        </w:rPr>
      </w:pPr>
      <w:r w:rsidRPr="00223C9F">
        <w:rPr>
          <w:b/>
          <w:bCs/>
        </w:rPr>
        <w:lastRenderedPageBreak/>
        <w:t>Observation</w:t>
      </w:r>
      <w:r w:rsidR="00261ECF">
        <w:rPr>
          <w:b/>
          <w:bCs/>
        </w:rPr>
        <w:t>5</w:t>
      </w:r>
      <w:r w:rsidRPr="00223C9F">
        <w:rPr>
          <w:b/>
          <w:bCs/>
        </w:rPr>
        <w:t xml:space="preserve">: </w:t>
      </w:r>
      <w:r>
        <w:rPr>
          <w:b/>
          <w:bCs/>
        </w:rPr>
        <w:t>D</w:t>
      </w:r>
      <w:r w:rsidRPr="00223C9F">
        <w:rPr>
          <w:b/>
          <w:bCs/>
        </w:rPr>
        <w:t xml:space="preserve">iscussion on RX impairments due to DL </w:t>
      </w:r>
      <w:r>
        <w:rPr>
          <w:b/>
          <w:bCs/>
        </w:rPr>
        <w:t xml:space="preserve">power </w:t>
      </w:r>
      <w:r w:rsidRPr="00223C9F">
        <w:rPr>
          <w:b/>
          <w:bCs/>
        </w:rPr>
        <w:t xml:space="preserve">imbalance being conducted in </w:t>
      </w:r>
      <w:r>
        <w:rPr>
          <w:b/>
          <w:bCs/>
        </w:rPr>
        <w:t xml:space="preserve">other </w:t>
      </w:r>
      <w:r w:rsidRPr="00223C9F">
        <w:rPr>
          <w:b/>
          <w:bCs/>
        </w:rPr>
        <w:t>WAN forums</w:t>
      </w:r>
    </w:p>
    <w:p w14:paraId="750DE323" w14:textId="77777777" w:rsidR="008D7F98" w:rsidRPr="00C5769F" w:rsidRDefault="008D7F98" w:rsidP="008D7F98">
      <w:pPr>
        <w:rPr>
          <w:b/>
          <w:bCs/>
        </w:rPr>
      </w:pPr>
      <w:r w:rsidRPr="00223C9F">
        <w:rPr>
          <w:b/>
          <w:bCs/>
        </w:rPr>
        <w:t>Proposal</w:t>
      </w:r>
      <w:r>
        <w:rPr>
          <w:b/>
          <w:bCs/>
        </w:rPr>
        <w:t>4</w:t>
      </w:r>
      <w:r w:rsidRPr="00223C9F">
        <w:rPr>
          <w:b/>
          <w:bCs/>
        </w:rPr>
        <w:t xml:space="preserve">: </w:t>
      </w:r>
      <w:r>
        <w:rPr>
          <w:b/>
          <w:bCs/>
        </w:rPr>
        <w:t>F</w:t>
      </w:r>
      <w:r w:rsidRPr="00223C9F">
        <w:rPr>
          <w:b/>
          <w:bCs/>
        </w:rPr>
        <w:t xml:space="preserve">ollow guidelines from WAN discussions on DL carrier power imbalance for setting </w:t>
      </w:r>
      <w:r>
        <w:rPr>
          <w:b/>
          <w:bCs/>
        </w:rPr>
        <w:t xml:space="preserve">REFSENSE and other RX </w:t>
      </w:r>
      <w:r w:rsidRPr="00223C9F">
        <w:rPr>
          <w:b/>
          <w:bCs/>
        </w:rPr>
        <w:t>specifications for V2X intra-band con-current operation</w:t>
      </w:r>
    </w:p>
    <w:p w14:paraId="146E5601" w14:textId="77777777" w:rsidR="00A910B6" w:rsidRPr="00294E44" w:rsidRDefault="00A910B6" w:rsidP="005865B2">
      <w:pPr>
        <w:rPr>
          <w:b/>
          <w:bCs/>
        </w:rPr>
      </w:pP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70E713D6" w14:textId="0F375943" w:rsidR="0006017F" w:rsidRPr="0006017F" w:rsidRDefault="00D94F14" w:rsidP="00703DCE">
      <w:pPr>
        <w:spacing w:after="0"/>
        <w:rPr>
          <w:rFonts w:ascii="Arial" w:eastAsia="Malgun Gothic" w:hAnsi="Arial" w:cs="Arial"/>
          <w:color w:val="000000"/>
          <w:lang w:val="en-US" w:eastAsia="ko-KR"/>
        </w:rPr>
      </w:pPr>
      <w:r>
        <w:t>[1]</w:t>
      </w:r>
      <w:r w:rsidR="003B6C0C">
        <w:t xml:space="preserve"> </w:t>
      </w:r>
      <w:r w:rsidR="00B056E1">
        <w:rPr>
          <w:rFonts w:ascii="Arial" w:eastAsia="SimSun" w:hAnsi="Arial"/>
          <w:lang w:eastAsia="zh-CN"/>
        </w:rPr>
        <w:t>R4-21</w:t>
      </w:r>
      <w:r w:rsidR="000361F6">
        <w:rPr>
          <w:rFonts w:ascii="Arial" w:eastAsia="SimSun" w:hAnsi="Arial"/>
          <w:lang w:eastAsia="zh-CN"/>
        </w:rPr>
        <w:t>03246</w:t>
      </w:r>
      <w:r w:rsidR="00B056E1">
        <w:rPr>
          <w:rFonts w:ascii="Arial" w:eastAsia="SimSun" w:hAnsi="Arial"/>
          <w:lang w:eastAsia="zh-CN"/>
        </w:rPr>
        <w:t xml:space="preserve">, </w:t>
      </w:r>
      <w:r w:rsidR="000361F6" w:rsidRPr="000361F6">
        <w:rPr>
          <w:rFonts w:ascii="Arial" w:eastAsia="Malgun Gothic" w:hAnsi="Arial" w:cs="Arial"/>
          <w:color w:val="000000"/>
          <w:lang w:val="en-CA" w:eastAsia="ko-KR"/>
        </w:rPr>
        <w:t>WF on MPR&amp;AMPR simulation assumption for NR V2X intra-band con-current operation</w:t>
      </w:r>
      <w:r w:rsidR="00703DCE" w:rsidRPr="0006017F">
        <w:rPr>
          <w:rFonts w:ascii="Arial" w:eastAsia="Malgun Gothic" w:hAnsi="Arial" w:cs="Arial"/>
          <w:color w:val="000000"/>
          <w:lang w:val="en-US" w:eastAsia="ko-KR"/>
        </w:rPr>
        <w:t xml:space="preserve">, </w:t>
      </w:r>
      <w:r w:rsidR="00B056E1" w:rsidRPr="0006017F">
        <w:rPr>
          <w:rFonts w:ascii="Arial" w:eastAsia="Malgun Gothic" w:hAnsi="Arial" w:cs="Arial"/>
          <w:color w:val="000000"/>
          <w:lang w:val="en-US" w:eastAsia="ko-KR"/>
        </w:rPr>
        <w:t>RAN4#</w:t>
      </w:r>
      <w:r w:rsidR="000361F6">
        <w:rPr>
          <w:rFonts w:ascii="Arial" w:eastAsia="Malgun Gothic" w:hAnsi="Arial" w:cs="Arial"/>
          <w:color w:val="000000"/>
          <w:lang w:val="en-US" w:eastAsia="ko-KR"/>
        </w:rPr>
        <w:t>98</w:t>
      </w:r>
      <w:r w:rsidR="00B056E1" w:rsidRPr="0006017F">
        <w:rPr>
          <w:rFonts w:ascii="Arial" w:eastAsia="Malgun Gothic" w:hAnsi="Arial" w:cs="Arial"/>
          <w:color w:val="000000"/>
          <w:lang w:val="en-US" w:eastAsia="ko-KR"/>
        </w:rPr>
        <w:t>-e</w:t>
      </w:r>
      <w:r w:rsidR="000361F6">
        <w:rPr>
          <w:rFonts w:ascii="Arial" w:eastAsia="Malgun Gothic" w:hAnsi="Arial" w:cs="Arial"/>
          <w:color w:val="000000"/>
          <w:lang w:val="en-US" w:eastAsia="ko-KR"/>
        </w:rPr>
        <w:t xml:space="preserve"> 25</w:t>
      </w:r>
      <w:r w:rsidR="000361F6" w:rsidRPr="000361F6">
        <w:rPr>
          <w:rFonts w:ascii="Arial" w:eastAsia="Malgun Gothic" w:hAnsi="Arial" w:cs="Arial"/>
          <w:color w:val="000000"/>
          <w:vertAlign w:val="superscript"/>
          <w:lang w:val="en-US" w:eastAsia="ko-KR"/>
        </w:rPr>
        <w:t>th</w:t>
      </w:r>
      <w:r w:rsidR="000361F6">
        <w:rPr>
          <w:rFonts w:ascii="Arial" w:eastAsia="Malgun Gothic" w:hAnsi="Arial" w:cs="Arial"/>
          <w:color w:val="000000"/>
          <w:lang w:val="en-US" w:eastAsia="ko-KR"/>
        </w:rPr>
        <w:t xml:space="preserve"> Jan – 5 Feb</w:t>
      </w:r>
      <w:r w:rsidR="00B056E1" w:rsidRPr="0006017F">
        <w:rPr>
          <w:rFonts w:ascii="Arial" w:eastAsia="Malgun Gothic" w:hAnsi="Arial" w:cs="Arial"/>
          <w:color w:val="000000"/>
          <w:lang w:val="en-US" w:eastAsia="ko-KR"/>
        </w:rPr>
        <w:t>, 2021</w:t>
      </w:r>
    </w:p>
    <w:p w14:paraId="218AF2A2" w14:textId="77777777" w:rsidR="0006017F" w:rsidRPr="00CC35EC" w:rsidRDefault="0006017F" w:rsidP="00703DCE">
      <w:pPr>
        <w:spacing w:after="0"/>
        <w:rPr>
          <w:rFonts w:ascii="Arial" w:eastAsia="Malgun Gothic" w:hAnsi="Arial" w:cs="Arial"/>
          <w:color w:val="000000"/>
          <w:lang w:val="en-US" w:eastAsia="ko-KR"/>
        </w:rPr>
      </w:pPr>
    </w:p>
    <w:p w14:paraId="493912E9" w14:textId="08F68B21" w:rsidR="0006017F" w:rsidRDefault="0006017F" w:rsidP="00CC35EC">
      <w:pPr>
        <w:spacing w:after="120"/>
        <w:ind w:left="1985" w:hanging="1985"/>
        <w:rPr>
          <w:rFonts w:ascii="Arial" w:eastAsia="Malgun Gothic" w:hAnsi="Arial" w:cs="Arial"/>
          <w:color w:val="000000"/>
          <w:lang w:val="en-US" w:eastAsia="ko-KR"/>
        </w:rPr>
      </w:pPr>
      <w:r w:rsidRPr="00CC35EC">
        <w:rPr>
          <w:rFonts w:ascii="Arial" w:eastAsia="Malgun Gothic" w:hAnsi="Arial" w:cs="Arial"/>
          <w:color w:val="000000"/>
          <w:lang w:val="en-US" w:eastAsia="ko-KR"/>
        </w:rPr>
        <w:t>[2]</w:t>
      </w:r>
      <w:bookmarkStart w:id="1" w:name="OLE_LINK36"/>
      <w:r w:rsidRPr="00CC35EC">
        <w:rPr>
          <w:rFonts w:ascii="Arial" w:eastAsia="Malgun Gothic" w:hAnsi="Arial" w:cs="Arial"/>
          <w:color w:val="000000"/>
          <w:lang w:val="en-US" w:eastAsia="ko-KR"/>
        </w:rPr>
        <w:t xml:space="preserve"> R4-21</w:t>
      </w:r>
      <w:r w:rsidR="008F21E7">
        <w:rPr>
          <w:rFonts w:ascii="Arial" w:eastAsia="Malgun Gothic" w:hAnsi="Arial" w:cs="Arial"/>
          <w:color w:val="000000"/>
          <w:lang w:val="en-US" w:eastAsia="ko-KR"/>
        </w:rPr>
        <w:t>14983</w:t>
      </w:r>
      <w:r w:rsidRPr="00CC35EC">
        <w:rPr>
          <w:rFonts w:ascii="Arial" w:eastAsia="Malgun Gothic" w:hAnsi="Arial" w:cs="Arial"/>
          <w:color w:val="000000"/>
          <w:lang w:val="en-US" w:eastAsia="ko-KR"/>
        </w:rPr>
        <w:t>,</w:t>
      </w:r>
      <w:r w:rsidR="00CC35EC">
        <w:rPr>
          <w:rFonts w:ascii="Arial" w:eastAsia="Malgun Gothic" w:hAnsi="Arial" w:cs="Arial"/>
          <w:color w:val="000000"/>
          <w:lang w:val="en-US" w:eastAsia="ko-KR"/>
        </w:rPr>
        <w:t xml:space="preserve"> </w:t>
      </w:r>
      <w:r w:rsidR="006929F2">
        <w:rPr>
          <w:rFonts w:ascii="Arial" w:eastAsia="Malgun Gothic" w:hAnsi="Arial" w:cs="Arial"/>
          <w:color w:val="000000"/>
          <w:lang w:val="en-US" w:eastAsia="ko-KR"/>
        </w:rPr>
        <w:t xml:space="preserve">WF on </w:t>
      </w:r>
      <w:r w:rsidR="00CC35EC" w:rsidRPr="00CC35EC">
        <w:rPr>
          <w:rFonts w:ascii="Arial" w:hAnsi="Arial" w:cs="Arial"/>
          <w:lang w:val="en-US"/>
        </w:rPr>
        <w:t>MPR f</w:t>
      </w:r>
      <w:r w:rsidR="006929F2">
        <w:rPr>
          <w:rFonts w:ascii="Arial" w:hAnsi="Arial" w:cs="Arial"/>
          <w:lang w:val="en-US"/>
        </w:rPr>
        <w:t>or</w:t>
      </w:r>
      <w:r w:rsidR="00CC35EC" w:rsidRPr="00CC35EC">
        <w:rPr>
          <w:rFonts w:ascii="Arial" w:hAnsi="Arial" w:cs="Arial"/>
          <w:lang w:val="en-US"/>
        </w:rPr>
        <w:t xml:space="preserve"> intra-band con-current operatio</w:t>
      </w:r>
      <w:r w:rsidR="006929F2">
        <w:rPr>
          <w:rFonts w:ascii="Arial" w:hAnsi="Arial" w:cs="Arial"/>
          <w:lang w:val="en-US"/>
        </w:rPr>
        <w:t>n</w:t>
      </w:r>
      <w:r w:rsidRPr="00CC35EC">
        <w:rPr>
          <w:rFonts w:ascii="Arial" w:eastAsia="Malgun Gothic" w:hAnsi="Arial" w:cs="Arial"/>
          <w:color w:val="000000"/>
          <w:lang w:val="en-US" w:eastAsia="ko-KR"/>
        </w:rPr>
        <w:t>,</w:t>
      </w:r>
      <w:r w:rsidRPr="0006017F">
        <w:rPr>
          <w:rFonts w:ascii="Arial" w:eastAsia="Malgun Gothic" w:hAnsi="Arial" w:cs="Arial"/>
          <w:color w:val="000000"/>
          <w:lang w:val="en-US" w:eastAsia="ko-KR"/>
        </w:rPr>
        <w:t xml:space="preserve"> </w:t>
      </w:r>
      <w:bookmarkEnd w:id="1"/>
      <w:r w:rsidRPr="0006017F">
        <w:rPr>
          <w:rFonts w:ascii="Arial" w:eastAsia="Malgun Gothic" w:hAnsi="Arial" w:cs="Arial"/>
          <w:color w:val="000000"/>
          <w:lang w:val="en-US" w:eastAsia="ko-KR"/>
        </w:rPr>
        <w:t>RAN4#</w:t>
      </w:r>
      <w:r w:rsidR="006929F2">
        <w:rPr>
          <w:rFonts w:ascii="Arial" w:eastAsia="Malgun Gothic" w:hAnsi="Arial" w:cs="Arial"/>
          <w:color w:val="000000"/>
          <w:lang w:val="en-US" w:eastAsia="ko-KR"/>
        </w:rPr>
        <w:t>100</w:t>
      </w:r>
      <w:r w:rsidR="00CC35EC">
        <w:rPr>
          <w:rFonts w:ascii="Arial" w:eastAsia="Malgun Gothic" w:hAnsi="Arial" w:cs="Arial"/>
          <w:color w:val="000000"/>
          <w:lang w:val="en-US" w:eastAsia="ko-KR"/>
        </w:rPr>
        <w:t>-e</w:t>
      </w:r>
      <w:r w:rsidRPr="0006017F">
        <w:rPr>
          <w:rFonts w:ascii="Arial" w:eastAsia="Malgun Gothic" w:hAnsi="Arial" w:cs="Arial"/>
          <w:color w:val="000000"/>
          <w:lang w:val="en-US" w:eastAsia="ko-KR"/>
        </w:rPr>
        <w:t xml:space="preserve">, </w:t>
      </w:r>
      <w:r w:rsidR="006929F2">
        <w:rPr>
          <w:rFonts w:ascii="Arial" w:eastAsia="Malgun Gothic" w:hAnsi="Arial" w:cs="Arial"/>
          <w:color w:val="000000"/>
          <w:lang w:val="en-US" w:eastAsia="ko-KR"/>
        </w:rPr>
        <w:t>Aug</w:t>
      </w:r>
      <w:r w:rsidR="00CC35EC">
        <w:rPr>
          <w:rFonts w:ascii="Arial" w:eastAsia="Malgun Gothic" w:hAnsi="Arial" w:cs="Arial"/>
          <w:color w:val="000000"/>
          <w:lang w:val="en-US" w:eastAsia="ko-KR"/>
        </w:rPr>
        <w:t>. 1</w:t>
      </w:r>
      <w:r w:rsidR="006929F2">
        <w:rPr>
          <w:rFonts w:ascii="Arial" w:eastAsia="Malgun Gothic" w:hAnsi="Arial" w:cs="Arial"/>
          <w:color w:val="000000"/>
          <w:lang w:val="en-US" w:eastAsia="ko-KR"/>
        </w:rPr>
        <w:t>6</w:t>
      </w:r>
      <w:r w:rsidR="00CC35EC">
        <w:rPr>
          <w:rFonts w:ascii="Arial" w:eastAsia="Malgun Gothic" w:hAnsi="Arial" w:cs="Arial"/>
          <w:color w:val="000000"/>
          <w:lang w:val="en-US" w:eastAsia="ko-KR"/>
        </w:rPr>
        <w:t>-2</w:t>
      </w:r>
      <w:r w:rsidR="006929F2">
        <w:rPr>
          <w:rFonts w:ascii="Arial" w:eastAsia="Malgun Gothic" w:hAnsi="Arial" w:cs="Arial"/>
          <w:color w:val="000000"/>
          <w:lang w:val="en-US" w:eastAsia="ko-KR"/>
        </w:rPr>
        <w:t>7</w:t>
      </w:r>
      <w:r w:rsidR="00CC35EC">
        <w:rPr>
          <w:rFonts w:ascii="Arial" w:eastAsia="Malgun Gothic" w:hAnsi="Arial" w:cs="Arial"/>
          <w:color w:val="000000"/>
          <w:lang w:val="en-US" w:eastAsia="ko-KR"/>
        </w:rPr>
        <w:t>,</w:t>
      </w:r>
      <w:r w:rsidRPr="0006017F">
        <w:rPr>
          <w:rFonts w:ascii="Arial" w:eastAsia="Malgun Gothic" w:hAnsi="Arial" w:cs="Arial"/>
          <w:color w:val="000000"/>
          <w:lang w:val="en-US" w:eastAsia="ko-KR"/>
        </w:rPr>
        <w:t>2021</w:t>
      </w:r>
    </w:p>
    <w:p w14:paraId="2F683292" w14:textId="77777777" w:rsidR="00A910B6" w:rsidRDefault="00A910B6" w:rsidP="00CC35EC">
      <w:pPr>
        <w:spacing w:after="120"/>
        <w:ind w:left="1985" w:hanging="1985"/>
        <w:rPr>
          <w:rFonts w:ascii="Arial" w:eastAsia="Malgun Gothic" w:hAnsi="Arial" w:cs="Arial"/>
          <w:color w:val="000000"/>
          <w:lang w:val="en-US" w:eastAsia="ko-KR"/>
        </w:rPr>
      </w:pPr>
    </w:p>
    <w:p w14:paraId="7332F042" w14:textId="73136F76" w:rsidR="00A910B6" w:rsidRPr="0006017F" w:rsidRDefault="00A910B6" w:rsidP="00A910B6">
      <w:pPr>
        <w:spacing w:after="0"/>
        <w:rPr>
          <w:rFonts w:ascii="Arial" w:eastAsia="Malgun Gothic" w:hAnsi="Arial" w:cs="Arial"/>
          <w:color w:val="000000"/>
          <w:lang w:val="en-US" w:eastAsia="ko-KR"/>
        </w:rPr>
      </w:pPr>
      <w:r>
        <w:t xml:space="preserve">[3] </w:t>
      </w:r>
      <w:r>
        <w:rPr>
          <w:rFonts w:ascii="Arial" w:eastAsia="SimSun" w:hAnsi="Arial"/>
          <w:lang w:eastAsia="zh-CN"/>
        </w:rPr>
        <w:t xml:space="preserve">R4-2112769, </w:t>
      </w:r>
      <w:r w:rsidRPr="00703DCE">
        <w:rPr>
          <w:rFonts w:ascii="Arial" w:eastAsia="Malgun Gothic" w:hAnsi="Arial" w:cs="Arial"/>
          <w:color w:val="000000"/>
          <w:lang w:val="en-US" w:eastAsia="ko-KR"/>
        </w:rPr>
        <w:t>RF requirements for intra-band con-current V2X operation with NR PC5 and NR Uu in a licensed band</w:t>
      </w:r>
      <w:r w:rsidRPr="0006017F">
        <w:rPr>
          <w:rFonts w:ascii="Arial" w:eastAsia="Malgun Gothic" w:hAnsi="Arial" w:cs="Arial"/>
          <w:color w:val="000000"/>
          <w:lang w:val="en-US" w:eastAsia="ko-KR"/>
        </w:rPr>
        <w:t>, RAN4#100-e, August 16 -27 , 2021</w:t>
      </w:r>
    </w:p>
    <w:p w14:paraId="0437F610" w14:textId="77777777" w:rsidR="00A910B6" w:rsidRPr="0006017F" w:rsidRDefault="00A910B6" w:rsidP="00A910B6">
      <w:pPr>
        <w:spacing w:after="0"/>
        <w:rPr>
          <w:rFonts w:ascii="Arial" w:eastAsia="Malgun Gothic" w:hAnsi="Arial" w:cs="Arial"/>
          <w:color w:val="000000"/>
          <w:lang w:val="en-US" w:eastAsia="ko-KR"/>
        </w:rPr>
      </w:pPr>
    </w:p>
    <w:p w14:paraId="71E76E72" w14:textId="05397753" w:rsidR="00A910B6" w:rsidRPr="0006017F" w:rsidRDefault="00A910B6" w:rsidP="00A910B6">
      <w:pPr>
        <w:rPr>
          <w:rFonts w:ascii="Arial" w:eastAsia="Malgun Gothic" w:hAnsi="Arial" w:cs="Arial"/>
          <w:color w:val="000000"/>
          <w:lang w:val="en-US" w:eastAsia="ko-KR"/>
        </w:rPr>
      </w:pPr>
      <w:r w:rsidRPr="0006017F">
        <w:rPr>
          <w:rFonts w:ascii="Arial" w:eastAsia="Malgun Gothic" w:hAnsi="Arial" w:cs="Arial"/>
          <w:color w:val="000000"/>
          <w:lang w:val="en-US" w:eastAsia="ko-KR"/>
        </w:rPr>
        <w:t>[</w:t>
      </w:r>
      <w:r>
        <w:rPr>
          <w:rFonts w:ascii="Arial" w:eastAsia="Malgun Gothic" w:hAnsi="Arial" w:cs="Arial"/>
          <w:color w:val="000000"/>
          <w:lang w:val="en-US" w:eastAsia="ko-KR"/>
        </w:rPr>
        <w:t>4</w:t>
      </w:r>
      <w:r w:rsidRPr="0006017F">
        <w:rPr>
          <w:rFonts w:ascii="Arial" w:eastAsia="Malgun Gothic" w:hAnsi="Arial" w:cs="Arial"/>
          <w:color w:val="000000"/>
          <w:lang w:val="en-US" w:eastAsia="ko-KR"/>
        </w:rPr>
        <w:t>] R4-21</w:t>
      </w:r>
      <w:r>
        <w:rPr>
          <w:rFonts w:ascii="Arial" w:eastAsia="Malgun Gothic" w:hAnsi="Arial" w:cs="Arial"/>
          <w:color w:val="000000"/>
          <w:lang w:val="en-US" w:eastAsia="ko-KR"/>
        </w:rPr>
        <w:t>14905,</w:t>
      </w:r>
      <w:r w:rsidRPr="0006017F">
        <w:rPr>
          <w:rFonts w:ascii="Arial" w:eastAsia="Malgun Gothic" w:hAnsi="Arial" w:cs="Arial"/>
          <w:color w:val="000000"/>
          <w:lang w:val="en-US" w:eastAsia="ko-KR"/>
        </w:rPr>
        <w:tab/>
      </w:r>
      <w:r>
        <w:rPr>
          <w:rFonts w:ascii="Arial" w:eastAsia="Malgun Gothic" w:hAnsi="Arial" w:cs="Arial"/>
          <w:color w:val="000000"/>
          <w:lang w:val="en-US" w:eastAsia="ko-KR"/>
        </w:rPr>
        <w:t xml:space="preserve"> </w:t>
      </w:r>
      <w:r w:rsidRPr="0006017F">
        <w:rPr>
          <w:rFonts w:ascii="Arial" w:eastAsia="Malgun Gothic" w:hAnsi="Arial" w:cs="Arial"/>
          <w:color w:val="000000"/>
          <w:lang w:val="en-US" w:eastAsia="ko-KR"/>
        </w:rPr>
        <w:t>WF on Rx Requirements for Type 2 UE</w:t>
      </w:r>
      <w:r>
        <w:rPr>
          <w:rFonts w:ascii="Arial" w:eastAsia="Malgun Gothic" w:hAnsi="Arial" w:cs="Arial"/>
          <w:color w:val="000000"/>
          <w:lang w:val="en-US" w:eastAsia="ko-KR"/>
        </w:rPr>
        <w:t xml:space="preserve"> RX Imbalance Requirements</w:t>
      </w:r>
      <w:r w:rsidRPr="0006017F">
        <w:rPr>
          <w:rFonts w:ascii="Arial" w:eastAsia="Malgun Gothic" w:hAnsi="Arial" w:cs="Arial"/>
          <w:color w:val="000000"/>
          <w:lang w:val="en-US" w:eastAsia="ko-KR"/>
        </w:rPr>
        <w:t>, RAN4#100-e, August 16 -27 , 2021</w:t>
      </w:r>
    </w:p>
    <w:p w14:paraId="5684F2D0" w14:textId="7EEDB298" w:rsidR="00A910B6" w:rsidRPr="0006017F" w:rsidRDefault="00A910B6" w:rsidP="00A910B6">
      <w:pPr>
        <w:rPr>
          <w:rFonts w:ascii="Arial" w:eastAsia="Malgun Gothic" w:hAnsi="Arial" w:cs="Arial"/>
          <w:color w:val="000000"/>
          <w:lang w:val="en-US" w:eastAsia="ko-KR"/>
        </w:rPr>
      </w:pPr>
      <w:r w:rsidRPr="0006017F">
        <w:rPr>
          <w:rFonts w:ascii="Arial" w:eastAsia="Malgun Gothic" w:hAnsi="Arial" w:cs="Arial"/>
          <w:color w:val="000000"/>
          <w:lang w:val="en-US" w:eastAsia="ko-KR"/>
        </w:rPr>
        <w:t>[</w:t>
      </w:r>
      <w:r>
        <w:rPr>
          <w:rFonts w:ascii="Arial" w:eastAsia="Malgun Gothic" w:hAnsi="Arial" w:cs="Arial"/>
          <w:color w:val="000000"/>
          <w:lang w:val="en-US" w:eastAsia="ko-KR"/>
        </w:rPr>
        <w:t>5</w:t>
      </w:r>
      <w:r w:rsidRPr="0006017F">
        <w:rPr>
          <w:rFonts w:ascii="Arial" w:eastAsia="Malgun Gothic" w:hAnsi="Arial" w:cs="Arial"/>
          <w:color w:val="000000"/>
          <w:lang w:val="en-US" w:eastAsia="ko-KR"/>
        </w:rPr>
        <w:t>] R4-2111732</w:t>
      </w:r>
      <w:r>
        <w:rPr>
          <w:rFonts w:ascii="Arial" w:eastAsia="Malgun Gothic" w:hAnsi="Arial" w:cs="Arial"/>
          <w:color w:val="000000"/>
          <w:lang w:val="en-US" w:eastAsia="ko-KR"/>
        </w:rPr>
        <w:t xml:space="preserve">, </w:t>
      </w:r>
      <w:r w:rsidRPr="0006017F">
        <w:rPr>
          <w:rFonts w:ascii="Arial" w:eastAsia="Malgun Gothic" w:hAnsi="Arial" w:cs="Arial"/>
          <w:color w:val="000000"/>
          <w:lang w:val="en-US" w:eastAsia="ko-KR"/>
        </w:rPr>
        <w:t>Imbalance Requirement for Type 2 UE RX, RAN4#100-e, August 16 -27 , 2021</w:t>
      </w:r>
    </w:p>
    <w:p w14:paraId="456408E1" w14:textId="3BD05577" w:rsidR="00A910B6" w:rsidRPr="0006017F" w:rsidRDefault="00A910B6" w:rsidP="00A910B6">
      <w:pPr>
        <w:rPr>
          <w:rFonts w:ascii="Arial" w:eastAsia="Malgun Gothic" w:hAnsi="Arial" w:cs="Arial"/>
          <w:color w:val="000000"/>
          <w:lang w:val="en-US" w:eastAsia="ko-KR"/>
        </w:rPr>
      </w:pPr>
      <w:r w:rsidRPr="0006017F">
        <w:rPr>
          <w:rFonts w:ascii="Arial" w:eastAsia="Malgun Gothic" w:hAnsi="Arial" w:cs="Arial"/>
          <w:color w:val="000000"/>
          <w:lang w:val="en-US" w:eastAsia="ko-KR"/>
        </w:rPr>
        <w:t>[</w:t>
      </w:r>
      <w:r>
        <w:rPr>
          <w:rFonts w:ascii="Arial" w:eastAsia="Malgun Gothic" w:hAnsi="Arial" w:cs="Arial"/>
          <w:color w:val="000000"/>
          <w:lang w:val="en-US" w:eastAsia="ko-KR"/>
        </w:rPr>
        <w:t>6</w:t>
      </w:r>
      <w:r w:rsidRPr="0006017F">
        <w:rPr>
          <w:rFonts w:ascii="Arial" w:eastAsia="Malgun Gothic" w:hAnsi="Arial" w:cs="Arial"/>
          <w:color w:val="000000"/>
          <w:lang w:val="en-US" w:eastAsia="ko-KR"/>
        </w:rPr>
        <w:t>] R4-2113403</w:t>
      </w:r>
      <w:r>
        <w:rPr>
          <w:rFonts w:ascii="Arial" w:eastAsia="Malgun Gothic" w:hAnsi="Arial" w:cs="Arial"/>
          <w:color w:val="000000"/>
          <w:lang w:val="en-US" w:eastAsia="ko-KR"/>
        </w:rPr>
        <w:t xml:space="preserve">, </w:t>
      </w:r>
      <w:r w:rsidRPr="0006017F">
        <w:rPr>
          <w:rFonts w:ascii="Arial" w:eastAsia="Malgun Gothic" w:hAnsi="Arial" w:cs="Arial"/>
          <w:color w:val="000000"/>
          <w:lang w:val="en-US" w:eastAsia="ko-KR"/>
        </w:rPr>
        <w:t>Discussion on type 2 UE requirements, RAN4#100-e, August 16 -27 , 2021</w:t>
      </w:r>
    </w:p>
    <w:p w14:paraId="1286692D" w14:textId="77777777" w:rsidR="00A910B6" w:rsidRPr="00CC35EC" w:rsidRDefault="00A910B6" w:rsidP="00CC35EC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B5544"/>
    <w:multiLevelType w:val="hybridMultilevel"/>
    <w:tmpl w:val="9780A866"/>
    <w:lvl w:ilvl="0" w:tplc="6D1EA20C">
      <w:start w:val="2"/>
      <w:numFmt w:val="bullet"/>
      <w:lvlText w:val="-"/>
      <w:lvlJc w:val="left"/>
      <w:pPr>
        <w:ind w:left="7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79B732BD"/>
    <w:multiLevelType w:val="hybridMultilevel"/>
    <w:tmpl w:val="3C04B4EA"/>
    <w:lvl w:ilvl="0" w:tplc="6D1EA20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5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  <w:num w:numId="25">
    <w:abstractNumId w:val="2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06F18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55B5"/>
    <w:rsid w:val="000361F6"/>
    <w:rsid w:val="00037A84"/>
    <w:rsid w:val="0004332E"/>
    <w:rsid w:val="000442DB"/>
    <w:rsid w:val="000454A9"/>
    <w:rsid w:val="0004568E"/>
    <w:rsid w:val="000463AE"/>
    <w:rsid w:val="00046DDD"/>
    <w:rsid w:val="0005283C"/>
    <w:rsid w:val="0005452D"/>
    <w:rsid w:val="0006017F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622D"/>
    <w:rsid w:val="00077EB3"/>
    <w:rsid w:val="00084322"/>
    <w:rsid w:val="000872D5"/>
    <w:rsid w:val="000908D9"/>
    <w:rsid w:val="00095365"/>
    <w:rsid w:val="00095874"/>
    <w:rsid w:val="00096678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A7A"/>
    <w:rsid w:val="000B7218"/>
    <w:rsid w:val="000C0457"/>
    <w:rsid w:val="000C270F"/>
    <w:rsid w:val="000C39B0"/>
    <w:rsid w:val="000C54C4"/>
    <w:rsid w:val="000C60D1"/>
    <w:rsid w:val="000C62EC"/>
    <w:rsid w:val="000C678D"/>
    <w:rsid w:val="000C6A68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31F8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31AFF"/>
    <w:rsid w:val="001351EB"/>
    <w:rsid w:val="00135A74"/>
    <w:rsid w:val="00135BA1"/>
    <w:rsid w:val="00137387"/>
    <w:rsid w:val="00137B26"/>
    <w:rsid w:val="0014180B"/>
    <w:rsid w:val="001419DF"/>
    <w:rsid w:val="00144F7C"/>
    <w:rsid w:val="00144FDD"/>
    <w:rsid w:val="0014604E"/>
    <w:rsid w:val="001512D7"/>
    <w:rsid w:val="0015336A"/>
    <w:rsid w:val="00153DAC"/>
    <w:rsid w:val="0015406D"/>
    <w:rsid w:val="00156359"/>
    <w:rsid w:val="001573DA"/>
    <w:rsid w:val="001600C2"/>
    <w:rsid w:val="00160693"/>
    <w:rsid w:val="00161C73"/>
    <w:rsid w:val="00166494"/>
    <w:rsid w:val="00166503"/>
    <w:rsid w:val="00166E70"/>
    <w:rsid w:val="001671AE"/>
    <w:rsid w:val="001704AA"/>
    <w:rsid w:val="00170DB5"/>
    <w:rsid w:val="00171914"/>
    <w:rsid w:val="0018009C"/>
    <w:rsid w:val="0018073A"/>
    <w:rsid w:val="00180BAA"/>
    <w:rsid w:val="00182ACA"/>
    <w:rsid w:val="00183706"/>
    <w:rsid w:val="0018383E"/>
    <w:rsid w:val="001851D4"/>
    <w:rsid w:val="00185F2B"/>
    <w:rsid w:val="001874CF"/>
    <w:rsid w:val="00191782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1DE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4B13"/>
    <w:rsid w:val="00214DDD"/>
    <w:rsid w:val="002151EE"/>
    <w:rsid w:val="00215DB2"/>
    <w:rsid w:val="00215EE5"/>
    <w:rsid w:val="00216428"/>
    <w:rsid w:val="002167A7"/>
    <w:rsid w:val="002175EE"/>
    <w:rsid w:val="00221917"/>
    <w:rsid w:val="00222D56"/>
    <w:rsid w:val="00222D66"/>
    <w:rsid w:val="00223C9F"/>
    <w:rsid w:val="00225E53"/>
    <w:rsid w:val="002267B2"/>
    <w:rsid w:val="00227148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1ECF"/>
    <w:rsid w:val="00263BAD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4E44"/>
    <w:rsid w:val="002952A2"/>
    <w:rsid w:val="002960BC"/>
    <w:rsid w:val="00296FE3"/>
    <w:rsid w:val="0029749D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0479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E72"/>
    <w:rsid w:val="003030FB"/>
    <w:rsid w:val="0030770F"/>
    <w:rsid w:val="003108D3"/>
    <w:rsid w:val="00311B66"/>
    <w:rsid w:val="00313B11"/>
    <w:rsid w:val="00313C0D"/>
    <w:rsid w:val="0031433F"/>
    <w:rsid w:val="00314F38"/>
    <w:rsid w:val="003165E3"/>
    <w:rsid w:val="00317D5E"/>
    <w:rsid w:val="00320BCA"/>
    <w:rsid w:val="00322CC1"/>
    <w:rsid w:val="00324990"/>
    <w:rsid w:val="00324D06"/>
    <w:rsid w:val="0033053A"/>
    <w:rsid w:val="00330F06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31B"/>
    <w:rsid w:val="00377E78"/>
    <w:rsid w:val="00380FC7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46B4"/>
    <w:rsid w:val="004355C0"/>
    <w:rsid w:val="00435B76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469"/>
    <w:rsid w:val="00462017"/>
    <w:rsid w:val="0046229B"/>
    <w:rsid w:val="00462DD7"/>
    <w:rsid w:val="004651C7"/>
    <w:rsid w:val="004673F2"/>
    <w:rsid w:val="0046754F"/>
    <w:rsid w:val="004707AF"/>
    <w:rsid w:val="004708F7"/>
    <w:rsid w:val="00470BB7"/>
    <w:rsid w:val="00471253"/>
    <w:rsid w:val="00474FE5"/>
    <w:rsid w:val="00475200"/>
    <w:rsid w:val="00476DD5"/>
    <w:rsid w:val="00481250"/>
    <w:rsid w:val="00482C49"/>
    <w:rsid w:val="00484A20"/>
    <w:rsid w:val="00484C72"/>
    <w:rsid w:val="00485264"/>
    <w:rsid w:val="0049043A"/>
    <w:rsid w:val="00490995"/>
    <w:rsid w:val="00493943"/>
    <w:rsid w:val="004944E3"/>
    <w:rsid w:val="00494683"/>
    <w:rsid w:val="00495F5B"/>
    <w:rsid w:val="00496FBC"/>
    <w:rsid w:val="004971A7"/>
    <w:rsid w:val="004A1E20"/>
    <w:rsid w:val="004A2CE9"/>
    <w:rsid w:val="004A402E"/>
    <w:rsid w:val="004A5F9C"/>
    <w:rsid w:val="004A75DD"/>
    <w:rsid w:val="004A7972"/>
    <w:rsid w:val="004B19D4"/>
    <w:rsid w:val="004B37BC"/>
    <w:rsid w:val="004B3B08"/>
    <w:rsid w:val="004B46A0"/>
    <w:rsid w:val="004B5C38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9EB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151"/>
    <w:rsid w:val="004F21C6"/>
    <w:rsid w:val="004F2958"/>
    <w:rsid w:val="004F424B"/>
    <w:rsid w:val="004F4D2D"/>
    <w:rsid w:val="004F6C74"/>
    <w:rsid w:val="004F7BD5"/>
    <w:rsid w:val="00501A02"/>
    <w:rsid w:val="00505AFA"/>
    <w:rsid w:val="00505F2F"/>
    <w:rsid w:val="00507C4F"/>
    <w:rsid w:val="0051074B"/>
    <w:rsid w:val="00510E29"/>
    <w:rsid w:val="00510EFE"/>
    <w:rsid w:val="005120D5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0E4"/>
    <w:rsid w:val="005321E5"/>
    <w:rsid w:val="00532B62"/>
    <w:rsid w:val="00532DE4"/>
    <w:rsid w:val="00532EAA"/>
    <w:rsid w:val="005341AC"/>
    <w:rsid w:val="00534509"/>
    <w:rsid w:val="00535EEF"/>
    <w:rsid w:val="00537CBB"/>
    <w:rsid w:val="005436E7"/>
    <w:rsid w:val="005453AB"/>
    <w:rsid w:val="00545BAE"/>
    <w:rsid w:val="00551FA9"/>
    <w:rsid w:val="005520D7"/>
    <w:rsid w:val="00552FD7"/>
    <w:rsid w:val="005536D9"/>
    <w:rsid w:val="00553B30"/>
    <w:rsid w:val="00554CBF"/>
    <w:rsid w:val="005550A4"/>
    <w:rsid w:val="00555FFE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01A8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0A"/>
    <w:rsid w:val="005A0684"/>
    <w:rsid w:val="005A0F40"/>
    <w:rsid w:val="005A11AB"/>
    <w:rsid w:val="005A2DD0"/>
    <w:rsid w:val="005A2EF8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879"/>
    <w:rsid w:val="005D3BF7"/>
    <w:rsid w:val="005D401D"/>
    <w:rsid w:val="005D5C74"/>
    <w:rsid w:val="005E0013"/>
    <w:rsid w:val="005E1DB3"/>
    <w:rsid w:val="005E2B0B"/>
    <w:rsid w:val="005E2F58"/>
    <w:rsid w:val="005E4163"/>
    <w:rsid w:val="005E4466"/>
    <w:rsid w:val="005E4D14"/>
    <w:rsid w:val="005E5DD0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804"/>
    <w:rsid w:val="00620F8A"/>
    <w:rsid w:val="00625932"/>
    <w:rsid w:val="00630683"/>
    <w:rsid w:val="006314E7"/>
    <w:rsid w:val="00633BDD"/>
    <w:rsid w:val="00634393"/>
    <w:rsid w:val="006360DE"/>
    <w:rsid w:val="00641EC1"/>
    <w:rsid w:val="00642008"/>
    <w:rsid w:val="006443D3"/>
    <w:rsid w:val="00644BF4"/>
    <w:rsid w:val="00644CC0"/>
    <w:rsid w:val="006465F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1833"/>
    <w:rsid w:val="00663063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790"/>
    <w:rsid w:val="00674D9B"/>
    <w:rsid w:val="0068118E"/>
    <w:rsid w:val="006815CF"/>
    <w:rsid w:val="006834CE"/>
    <w:rsid w:val="006840A2"/>
    <w:rsid w:val="00687058"/>
    <w:rsid w:val="00687DAF"/>
    <w:rsid w:val="0069060B"/>
    <w:rsid w:val="00691155"/>
    <w:rsid w:val="00691500"/>
    <w:rsid w:val="006929F2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2B3D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300"/>
    <w:rsid w:val="006F278A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0BED"/>
    <w:rsid w:val="00711AAA"/>
    <w:rsid w:val="00711CAC"/>
    <w:rsid w:val="00713B09"/>
    <w:rsid w:val="00713B49"/>
    <w:rsid w:val="0071517B"/>
    <w:rsid w:val="00715433"/>
    <w:rsid w:val="00717BF0"/>
    <w:rsid w:val="00717C2A"/>
    <w:rsid w:val="007213F1"/>
    <w:rsid w:val="00721F34"/>
    <w:rsid w:val="007223CE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1E84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3E28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4AF0"/>
    <w:rsid w:val="007B605F"/>
    <w:rsid w:val="007B6C37"/>
    <w:rsid w:val="007B6FCF"/>
    <w:rsid w:val="007B75DD"/>
    <w:rsid w:val="007B7EFE"/>
    <w:rsid w:val="007C0C45"/>
    <w:rsid w:val="007C1BB2"/>
    <w:rsid w:val="007C4330"/>
    <w:rsid w:val="007C4A4B"/>
    <w:rsid w:val="007C4CA8"/>
    <w:rsid w:val="007C501E"/>
    <w:rsid w:val="007C5418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15FA"/>
    <w:rsid w:val="008148EA"/>
    <w:rsid w:val="00816794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1CC5"/>
    <w:rsid w:val="00832915"/>
    <w:rsid w:val="00835AEA"/>
    <w:rsid w:val="008360D5"/>
    <w:rsid w:val="0083657E"/>
    <w:rsid w:val="008403D5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3414"/>
    <w:rsid w:val="00864B3C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5B7D"/>
    <w:rsid w:val="008C0F3C"/>
    <w:rsid w:val="008C3E8C"/>
    <w:rsid w:val="008C43EC"/>
    <w:rsid w:val="008C48DA"/>
    <w:rsid w:val="008D305A"/>
    <w:rsid w:val="008D3B13"/>
    <w:rsid w:val="008D43D4"/>
    <w:rsid w:val="008D5410"/>
    <w:rsid w:val="008D77C5"/>
    <w:rsid w:val="008D7F98"/>
    <w:rsid w:val="008E0715"/>
    <w:rsid w:val="008E120C"/>
    <w:rsid w:val="008E128A"/>
    <w:rsid w:val="008E1A41"/>
    <w:rsid w:val="008E2543"/>
    <w:rsid w:val="008E4057"/>
    <w:rsid w:val="008E4929"/>
    <w:rsid w:val="008E5530"/>
    <w:rsid w:val="008E7241"/>
    <w:rsid w:val="008E725B"/>
    <w:rsid w:val="008F13B3"/>
    <w:rsid w:val="008F1537"/>
    <w:rsid w:val="008F21E7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27C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89B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3E7E"/>
    <w:rsid w:val="00965744"/>
    <w:rsid w:val="00966853"/>
    <w:rsid w:val="009673C2"/>
    <w:rsid w:val="00970373"/>
    <w:rsid w:val="009718D1"/>
    <w:rsid w:val="00971D27"/>
    <w:rsid w:val="0097368D"/>
    <w:rsid w:val="0097566C"/>
    <w:rsid w:val="00976615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A0380"/>
    <w:rsid w:val="009A0B42"/>
    <w:rsid w:val="009A227F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546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D42"/>
    <w:rsid w:val="00A116A0"/>
    <w:rsid w:val="00A11A45"/>
    <w:rsid w:val="00A15C70"/>
    <w:rsid w:val="00A167BE"/>
    <w:rsid w:val="00A17D67"/>
    <w:rsid w:val="00A20C74"/>
    <w:rsid w:val="00A22D40"/>
    <w:rsid w:val="00A236D3"/>
    <w:rsid w:val="00A25128"/>
    <w:rsid w:val="00A307F8"/>
    <w:rsid w:val="00A30923"/>
    <w:rsid w:val="00A315E3"/>
    <w:rsid w:val="00A32251"/>
    <w:rsid w:val="00A328A2"/>
    <w:rsid w:val="00A328DF"/>
    <w:rsid w:val="00A34971"/>
    <w:rsid w:val="00A353D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4A6E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3E3"/>
    <w:rsid w:val="00A90C0D"/>
    <w:rsid w:val="00A90D36"/>
    <w:rsid w:val="00A910B6"/>
    <w:rsid w:val="00A911FA"/>
    <w:rsid w:val="00A92091"/>
    <w:rsid w:val="00A92BAC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DB9"/>
    <w:rsid w:val="00AF5E77"/>
    <w:rsid w:val="00AF6AF2"/>
    <w:rsid w:val="00AF7861"/>
    <w:rsid w:val="00AF7A0F"/>
    <w:rsid w:val="00B00129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24F2"/>
    <w:rsid w:val="00B2255C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36A7"/>
    <w:rsid w:val="00B5499F"/>
    <w:rsid w:val="00B561C7"/>
    <w:rsid w:val="00B57815"/>
    <w:rsid w:val="00B57A94"/>
    <w:rsid w:val="00B57E31"/>
    <w:rsid w:val="00B60568"/>
    <w:rsid w:val="00B61AE2"/>
    <w:rsid w:val="00B61D44"/>
    <w:rsid w:val="00B6249D"/>
    <w:rsid w:val="00B64D0A"/>
    <w:rsid w:val="00B65F80"/>
    <w:rsid w:val="00B70EC2"/>
    <w:rsid w:val="00B71E29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4B76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2DBA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5769F"/>
    <w:rsid w:val="00C60AC9"/>
    <w:rsid w:val="00C61BD1"/>
    <w:rsid w:val="00C62654"/>
    <w:rsid w:val="00C665E2"/>
    <w:rsid w:val="00C6783B"/>
    <w:rsid w:val="00C67F32"/>
    <w:rsid w:val="00C71C6D"/>
    <w:rsid w:val="00C7403E"/>
    <w:rsid w:val="00C744F6"/>
    <w:rsid w:val="00C74AEF"/>
    <w:rsid w:val="00C74CF3"/>
    <w:rsid w:val="00C761C1"/>
    <w:rsid w:val="00C766A4"/>
    <w:rsid w:val="00C76F45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2FED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05E6"/>
    <w:rsid w:val="00CC1CFE"/>
    <w:rsid w:val="00CC2E7E"/>
    <w:rsid w:val="00CC2E9A"/>
    <w:rsid w:val="00CC2FB1"/>
    <w:rsid w:val="00CC358C"/>
    <w:rsid w:val="00CC35EC"/>
    <w:rsid w:val="00CC3F06"/>
    <w:rsid w:val="00CC72C1"/>
    <w:rsid w:val="00CC78E4"/>
    <w:rsid w:val="00CD0637"/>
    <w:rsid w:val="00CD1D23"/>
    <w:rsid w:val="00CD230E"/>
    <w:rsid w:val="00CD2EB3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186C"/>
    <w:rsid w:val="00D0369A"/>
    <w:rsid w:val="00D04858"/>
    <w:rsid w:val="00D05340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3759B"/>
    <w:rsid w:val="00D4025F"/>
    <w:rsid w:val="00D40FCB"/>
    <w:rsid w:val="00D415F0"/>
    <w:rsid w:val="00D42719"/>
    <w:rsid w:val="00D43454"/>
    <w:rsid w:val="00D45239"/>
    <w:rsid w:val="00D45657"/>
    <w:rsid w:val="00D5193D"/>
    <w:rsid w:val="00D52E46"/>
    <w:rsid w:val="00D53753"/>
    <w:rsid w:val="00D561DD"/>
    <w:rsid w:val="00D57735"/>
    <w:rsid w:val="00D57E03"/>
    <w:rsid w:val="00D61906"/>
    <w:rsid w:val="00D620BA"/>
    <w:rsid w:val="00D621BB"/>
    <w:rsid w:val="00D62530"/>
    <w:rsid w:val="00D6314E"/>
    <w:rsid w:val="00D65CEF"/>
    <w:rsid w:val="00D66097"/>
    <w:rsid w:val="00D709B7"/>
    <w:rsid w:val="00D740A6"/>
    <w:rsid w:val="00D75548"/>
    <w:rsid w:val="00D80F7E"/>
    <w:rsid w:val="00D81C65"/>
    <w:rsid w:val="00D8349A"/>
    <w:rsid w:val="00D834AB"/>
    <w:rsid w:val="00D84406"/>
    <w:rsid w:val="00D849E0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001D"/>
    <w:rsid w:val="00DA1D30"/>
    <w:rsid w:val="00DA3470"/>
    <w:rsid w:val="00DA40CF"/>
    <w:rsid w:val="00DA529C"/>
    <w:rsid w:val="00DA5D84"/>
    <w:rsid w:val="00DA75CE"/>
    <w:rsid w:val="00DA7B15"/>
    <w:rsid w:val="00DB0F20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2668B"/>
    <w:rsid w:val="00E30BA1"/>
    <w:rsid w:val="00E319A8"/>
    <w:rsid w:val="00E31C62"/>
    <w:rsid w:val="00E32B32"/>
    <w:rsid w:val="00E337FF"/>
    <w:rsid w:val="00E33B8C"/>
    <w:rsid w:val="00E33CE8"/>
    <w:rsid w:val="00E3448D"/>
    <w:rsid w:val="00E35269"/>
    <w:rsid w:val="00E35657"/>
    <w:rsid w:val="00E35FB3"/>
    <w:rsid w:val="00E3638E"/>
    <w:rsid w:val="00E4016E"/>
    <w:rsid w:val="00E41AF3"/>
    <w:rsid w:val="00E437C4"/>
    <w:rsid w:val="00E45C07"/>
    <w:rsid w:val="00E464E5"/>
    <w:rsid w:val="00E509F8"/>
    <w:rsid w:val="00E52936"/>
    <w:rsid w:val="00E53AC2"/>
    <w:rsid w:val="00E54351"/>
    <w:rsid w:val="00E55D8A"/>
    <w:rsid w:val="00E5616F"/>
    <w:rsid w:val="00E5684A"/>
    <w:rsid w:val="00E56DB5"/>
    <w:rsid w:val="00E60E03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4F6"/>
    <w:rsid w:val="00E96910"/>
    <w:rsid w:val="00E96CC5"/>
    <w:rsid w:val="00E977EA"/>
    <w:rsid w:val="00EA01B7"/>
    <w:rsid w:val="00EA0956"/>
    <w:rsid w:val="00EA176A"/>
    <w:rsid w:val="00EA17CA"/>
    <w:rsid w:val="00EA2741"/>
    <w:rsid w:val="00EA2A2D"/>
    <w:rsid w:val="00EA33CB"/>
    <w:rsid w:val="00EA438F"/>
    <w:rsid w:val="00EA4ED8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20BE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E7D59"/>
    <w:rsid w:val="00EF1E99"/>
    <w:rsid w:val="00EF273C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416B"/>
    <w:rsid w:val="00F06E5E"/>
    <w:rsid w:val="00F07CA3"/>
    <w:rsid w:val="00F11123"/>
    <w:rsid w:val="00F1141F"/>
    <w:rsid w:val="00F12D76"/>
    <w:rsid w:val="00F13034"/>
    <w:rsid w:val="00F13AB8"/>
    <w:rsid w:val="00F164A9"/>
    <w:rsid w:val="00F2146C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5EC5"/>
    <w:rsid w:val="00F36BB8"/>
    <w:rsid w:val="00F377E7"/>
    <w:rsid w:val="00F37944"/>
    <w:rsid w:val="00F40717"/>
    <w:rsid w:val="00F4112C"/>
    <w:rsid w:val="00F4191D"/>
    <w:rsid w:val="00F41AE3"/>
    <w:rsid w:val="00F42159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2C35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55F4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1F94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4E3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219A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717C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4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23</cp:revision>
  <dcterms:created xsi:type="dcterms:W3CDTF">2021-10-21T22:42:00Z</dcterms:created>
  <dcterms:modified xsi:type="dcterms:W3CDTF">2021-10-22T22:38:00Z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